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B547" w14:textId="77777777" w:rsidR="00E32F81" w:rsidRPr="00E32F81" w:rsidRDefault="00B52BEE" w:rsidP="00DD1C90">
      <w:pPr>
        <w:numPr>
          <w:ilvl w:val="0"/>
          <w:numId w:val="0"/>
        </w:numPr>
        <w:jc w:val="center"/>
        <w:rPr>
          <w:rFonts w:ascii="宋体" w:eastAsia="宋体" w:hAnsi="宋体"/>
          <w:b/>
          <w:bCs/>
          <w:sz w:val="28"/>
          <w:szCs w:val="28"/>
        </w:rPr>
      </w:pPr>
      <w:r w:rsidRPr="00E32F81">
        <w:rPr>
          <w:rFonts w:ascii="宋体" w:eastAsia="宋体" w:hAnsi="宋体" w:hint="eastAsia"/>
          <w:b/>
          <w:bCs/>
          <w:sz w:val="28"/>
          <w:szCs w:val="28"/>
        </w:rPr>
        <w:t>工程说明</w:t>
      </w:r>
    </w:p>
    <w:p w14:paraId="62664502" w14:textId="6E49FEDB" w:rsidR="00E32F81" w:rsidRPr="00DD1C90" w:rsidRDefault="00E32F81" w:rsidP="00E32F81">
      <w:pPr>
        <w:pStyle w:val="a9"/>
        <w:numPr>
          <w:ilvl w:val="0"/>
          <w:numId w:val="5"/>
        </w:numPr>
        <w:spacing w:line="300" w:lineRule="auto"/>
        <w:jc w:val="left"/>
        <w:rPr>
          <w:rFonts w:ascii="宋体" w:eastAsia="宋体" w:hAnsi="宋体"/>
          <w:b/>
          <w:bCs/>
          <w:sz w:val="24"/>
          <w:szCs w:val="24"/>
          <w:u w:val="single"/>
        </w:rPr>
      </w:pPr>
      <w:r w:rsidRPr="00DD1C90">
        <w:rPr>
          <w:rFonts w:ascii="宋体" w:eastAsia="宋体" w:hAnsi="宋体" w:hint="eastAsia"/>
          <w:b/>
          <w:bCs/>
          <w:sz w:val="24"/>
          <w:szCs w:val="24"/>
          <w:u w:val="single"/>
        </w:rPr>
        <w:t>建筑基本概况</w:t>
      </w:r>
    </w:p>
    <w:p w14:paraId="6DCF4709" w14:textId="47E656D8" w:rsidR="00DD1C90" w:rsidRPr="00DD1C90" w:rsidRDefault="00DD1C90" w:rsidP="00E85C91">
      <w:pPr>
        <w:pStyle w:val="a9"/>
        <w:numPr>
          <w:ilvl w:val="0"/>
          <w:numId w:val="6"/>
        </w:numPr>
        <w:spacing w:line="300" w:lineRule="auto"/>
        <w:ind w:left="0" w:firstLineChars="200" w:firstLine="422"/>
        <w:jc w:val="left"/>
        <w:rPr>
          <w:rFonts w:ascii="宋体" w:eastAsia="宋体" w:hAnsi="宋体"/>
        </w:rPr>
      </w:pPr>
      <w:r w:rsidRPr="00E85C91">
        <w:rPr>
          <w:rFonts w:ascii="宋体" w:eastAsia="宋体" w:hAnsi="宋体"/>
          <w:b/>
          <w:bCs/>
        </w:rPr>
        <w:t>项目名称</w:t>
      </w:r>
      <w:r w:rsidRPr="00DD1C90">
        <w:rPr>
          <w:rFonts w:ascii="宋体" w:eastAsia="宋体" w:hAnsi="宋体"/>
        </w:rPr>
        <w:t>：筑轩绘青•庙音韵邻—绿色共享社区活动中心</w:t>
      </w:r>
    </w:p>
    <w:p w14:paraId="43E50620" w14:textId="6A9E691E" w:rsidR="00DD1C90" w:rsidRPr="00DD1C90" w:rsidRDefault="00DD1C90" w:rsidP="00E85C91">
      <w:pPr>
        <w:pStyle w:val="a9"/>
        <w:numPr>
          <w:ilvl w:val="0"/>
          <w:numId w:val="6"/>
        </w:numPr>
        <w:spacing w:line="300" w:lineRule="auto"/>
        <w:ind w:left="0" w:firstLineChars="200" w:firstLine="422"/>
        <w:jc w:val="left"/>
        <w:rPr>
          <w:rFonts w:ascii="宋体" w:eastAsia="宋体" w:hAnsi="宋体"/>
        </w:rPr>
      </w:pPr>
      <w:r w:rsidRPr="00E85C91">
        <w:rPr>
          <w:rFonts w:ascii="宋体" w:eastAsia="宋体" w:hAnsi="宋体"/>
          <w:b/>
          <w:bCs/>
        </w:rPr>
        <w:t>项目地点</w:t>
      </w:r>
      <w:r w:rsidRPr="00DD1C90">
        <w:rPr>
          <w:rFonts w:ascii="宋体" w:eastAsia="宋体" w:hAnsi="宋体"/>
        </w:rPr>
        <w:t>：内蒙古呼和浩特市</w:t>
      </w:r>
    </w:p>
    <w:p w14:paraId="4428DC28" w14:textId="5A339D22" w:rsidR="00DD1C90" w:rsidRPr="00DD1C90" w:rsidRDefault="00DD1C90" w:rsidP="00E85C91">
      <w:pPr>
        <w:pStyle w:val="a9"/>
        <w:numPr>
          <w:ilvl w:val="0"/>
          <w:numId w:val="6"/>
        </w:numPr>
        <w:spacing w:line="300" w:lineRule="auto"/>
        <w:ind w:left="0" w:firstLineChars="200" w:firstLine="422"/>
        <w:jc w:val="left"/>
        <w:rPr>
          <w:rFonts w:ascii="宋体" w:eastAsia="宋体" w:hAnsi="宋体"/>
        </w:rPr>
      </w:pPr>
      <w:r w:rsidRPr="00E85C91">
        <w:rPr>
          <w:rFonts w:ascii="宋体" w:eastAsia="宋体" w:hAnsi="宋体"/>
          <w:b/>
          <w:bCs/>
        </w:rPr>
        <w:t>民用建筑分类</w:t>
      </w:r>
      <w:r w:rsidRPr="00DD1C90">
        <w:rPr>
          <w:rFonts w:ascii="宋体" w:eastAsia="宋体" w:hAnsi="宋体"/>
        </w:rPr>
        <w:t>：多层公共建筑</w:t>
      </w:r>
    </w:p>
    <w:p w14:paraId="6E92BEE6" w14:textId="091FF726" w:rsidR="00DD1C90" w:rsidRPr="00DD1C90" w:rsidRDefault="00DD1C90" w:rsidP="00E85C91">
      <w:pPr>
        <w:pStyle w:val="a9"/>
        <w:numPr>
          <w:ilvl w:val="0"/>
          <w:numId w:val="6"/>
        </w:numPr>
        <w:spacing w:line="300" w:lineRule="auto"/>
        <w:ind w:left="0" w:firstLineChars="200" w:firstLine="422"/>
        <w:jc w:val="left"/>
        <w:rPr>
          <w:rFonts w:ascii="宋体" w:eastAsia="宋体" w:hAnsi="宋体"/>
        </w:rPr>
      </w:pPr>
      <w:r w:rsidRPr="00E85C91">
        <w:rPr>
          <w:rFonts w:ascii="宋体" w:eastAsia="宋体" w:hAnsi="宋体"/>
          <w:b/>
          <w:bCs/>
        </w:rPr>
        <w:t>结构形式</w:t>
      </w:r>
      <w:r w:rsidRPr="00DD1C90">
        <w:rPr>
          <w:rFonts w:ascii="宋体" w:eastAsia="宋体" w:hAnsi="宋体"/>
        </w:rPr>
        <w:t>：框架结构</w:t>
      </w:r>
    </w:p>
    <w:p w14:paraId="0EB26BA1" w14:textId="2A591F75" w:rsidR="00DD1C90" w:rsidRPr="00DD1C90" w:rsidRDefault="00DD1C90" w:rsidP="00E85C91">
      <w:pPr>
        <w:pStyle w:val="a9"/>
        <w:numPr>
          <w:ilvl w:val="0"/>
          <w:numId w:val="6"/>
        </w:numPr>
        <w:spacing w:line="300" w:lineRule="auto"/>
        <w:ind w:left="0" w:firstLineChars="200" w:firstLine="422"/>
        <w:jc w:val="left"/>
        <w:rPr>
          <w:rFonts w:ascii="宋体" w:eastAsia="宋体" w:hAnsi="宋体"/>
        </w:rPr>
      </w:pPr>
      <w:r w:rsidRPr="00E85C91">
        <w:rPr>
          <w:rFonts w:ascii="宋体" w:eastAsia="宋体" w:hAnsi="宋体"/>
          <w:b/>
          <w:bCs/>
        </w:rPr>
        <w:t>建筑设计使用年限</w:t>
      </w:r>
      <w:r w:rsidRPr="00DD1C90">
        <w:rPr>
          <w:rFonts w:ascii="宋体" w:eastAsia="宋体" w:hAnsi="宋体"/>
        </w:rPr>
        <w:t>：50年</w:t>
      </w:r>
    </w:p>
    <w:p w14:paraId="6DD7AC85" w14:textId="38189D40" w:rsidR="00DD1C90" w:rsidRPr="00DD1C90" w:rsidRDefault="00DD1C90" w:rsidP="00E85C91">
      <w:pPr>
        <w:pStyle w:val="a9"/>
        <w:numPr>
          <w:ilvl w:val="0"/>
          <w:numId w:val="6"/>
        </w:numPr>
        <w:spacing w:line="300" w:lineRule="auto"/>
        <w:ind w:left="0" w:firstLineChars="200" w:firstLine="422"/>
        <w:jc w:val="left"/>
        <w:rPr>
          <w:rFonts w:ascii="宋体" w:eastAsia="宋体" w:hAnsi="宋体"/>
        </w:rPr>
      </w:pPr>
      <w:r w:rsidRPr="00E85C91">
        <w:rPr>
          <w:rFonts w:ascii="宋体" w:eastAsia="宋体" w:hAnsi="宋体"/>
          <w:b/>
          <w:bCs/>
        </w:rPr>
        <w:t>建筑耐火等级</w:t>
      </w:r>
      <w:r w:rsidRPr="00DD1C90">
        <w:rPr>
          <w:rFonts w:ascii="宋体" w:eastAsia="宋体" w:hAnsi="宋体"/>
        </w:rPr>
        <w:t>：二级</w:t>
      </w:r>
    </w:p>
    <w:p w14:paraId="06024A87" w14:textId="2355809C" w:rsidR="00DD1C90" w:rsidRPr="00DD1C90" w:rsidRDefault="00DD1C90" w:rsidP="00E85C91">
      <w:pPr>
        <w:pStyle w:val="a9"/>
        <w:numPr>
          <w:ilvl w:val="0"/>
          <w:numId w:val="6"/>
        </w:numPr>
        <w:spacing w:line="300" w:lineRule="auto"/>
        <w:ind w:left="0" w:firstLineChars="200" w:firstLine="422"/>
        <w:jc w:val="left"/>
        <w:rPr>
          <w:rFonts w:ascii="宋体" w:eastAsia="宋体" w:hAnsi="宋体"/>
        </w:rPr>
      </w:pPr>
      <w:r w:rsidRPr="00E85C91">
        <w:rPr>
          <w:rFonts w:ascii="宋体" w:eastAsia="宋体" w:hAnsi="宋体"/>
          <w:b/>
          <w:bCs/>
        </w:rPr>
        <w:t>功能布局</w:t>
      </w:r>
      <w:r w:rsidRPr="00DD1C90">
        <w:rPr>
          <w:rFonts w:ascii="宋体" w:eastAsia="宋体" w:hAnsi="宋体"/>
        </w:rPr>
        <w:t>：</w:t>
      </w:r>
    </w:p>
    <w:p w14:paraId="20F1D936" w14:textId="77777777" w:rsidR="00DD1C90" w:rsidRPr="00DD1C90" w:rsidRDefault="00DD1C90" w:rsidP="00E85C91">
      <w:pPr>
        <w:pStyle w:val="a9"/>
        <w:numPr>
          <w:ilvl w:val="0"/>
          <w:numId w:val="0"/>
        </w:numPr>
        <w:spacing w:line="300" w:lineRule="auto"/>
        <w:ind w:firstLineChars="200" w:firstLine="420"/>
        <w:jc w:val="left"/>
        <w:rPr>
          <w:rFonts w:ascii="宋体" w:eastAsia="宋体" w:hAnsi="宋体"/>
        </w:rPr>
      </w:pPr>
      <w:r w:rsidRPr="00DD1C90">
        <w:rPr>
          <w:rFonts w:ascii="宋体" w:eastAsia="宋体" w:hAnsi="宋体" w:hint="eastAsia"/>
        </w:rPr>
        <w:t>一层：文化展厅、多功能厅、阅览室、会议室、办公室、健身房、保健室</w:t>
      </w:r>
    </w:p>
    <w:p w14:paraId="0F2CAA1A" w14:textId="31847D1E" w:rsidR="00E85C91" w:rsidRPr="00E85C91" w:rsidRDefault="00DD1C90" w:rsidP="00E85C91">
      <w:pPr>
        <w:pStyle w:val="a9"/>
        <w:numPr>
          <w:ilvl w:val="0"/>
          <w:numId w:val="0"/>
        </w:numPr>
        <w:spacing w:line="300" w:lineRule="auto"/>
        <w:ind w:firstLineChars="200" w:firstLine="420"/>
        <w:jc w:val="left"/>
        <w:rPr>
          <w:rFonts w:ascii="宋体" w:eastAsia="宋体" w:hAnsi="宋体"/>
        </w:rPr>
      </w:pPr>
      <w:r w:rsidRPr="00DD1C90">
        <w:rPr>
          <w:rFonts w:ascii="宋体" w:eastAsia="宋体" w:hAnsi="宋体" w:hint="eastAsia"/>
        </w:rPr>
        <w:t>二层：戏曲演艺厅、音乐室、游艺室、亲子室、乒乓球室、台球室、咖啡茶室、书法室、手工室、室外剧场</w:t>
      </w:r>
      <w:r w:rsidRPr="00DD1C90">
        <w:rPr>
          <w:rFonts w:ascii="宋体" w:eastAsia="宋体" w:hAnsi="宋体"/>
        </w:rPr>
        <w:t xml:space="preserve"> </w:t>
      </w:r>
    </w:p>
    <w:p w14:paraId="5EC6719D" w14:textId="2233AAC7" w:rsidR="00DD1C90" w:rsidRPr="00DD1C90" w:rsidRDefault="00DD1C90" w:rsidP="00E85C91">
      <w:pPr>
        <w:pStyle w:val="a9"/>
        <w:numPr>
          <w:ilvl w:val="0"/>
          <w:numId w:val="6"/>
        </w:numPr>
        <w:spacing w:line="300" w:lineRule="auto"/>
        <w:ind w:left="0" w:firstLineChars="200" w:firstLine="422"/>
        <w:jc w:val="left"/>
        <w:rPr>
          <w:rFonts w:ascii="宋体" w:eastAsia="宋体" w:hAnsi="宋体"/>
        </w:rPr>
      </w:pPr>
      <w:r w:rsidRPr="00E85C91">
        <w:rPr>
          <w:rFonts w:ascii="宋体" w:eastAsia="宋体" w:hAnsi="宋体"/>
          <w:b/>
          <w:bCs/>
        </w:rPr>
        <w:t>经济技术指标</w:t>
      </w:r>
      <w:r w:rsidRPr="00DD1C90">
        <w:rPr>
          <w:rFonts w:ascii="宋体" w:eastAsia="宋体" w:hAnsi="宋体"/>
        </w:rPr>
        <w:t>：</w:t>
      </w:r>
    </w:p>
    <w:p w14:paraId="7E018DCA" w14:textId="77777777" w:rsidR="00DD1C90" w:rsidRPr="00DD1C90" w:rsidRDefault="00DD1C90" w:rsidP="00E85C91">
      <w:pPr>
        <w:pStyle w:val="a9"/>
        <w:numPr>
          <w:ilvl w:val="0"/>
          <w:numId w:val="0"/>
        </w:numPr>
        <w:spacing w:line="300" w:lineRule="auto"/>
        <w:ind w:firstLineChars="400" w:firstLine="840"/>
        <w:jc w:val="left"/>
        <w:rPr>
          <w:rFonts w:ascii="宋体" w:eastAsia="宋体" w:hAnsi="宋体"/>
        </w:rPr>
      </w:pPr>
      <w:r w:rsidRPr="00DD1C90">
        <w:rPr>
          <w:rFonts w:ascii="宋体" w:eastAsia="宋体" w:hAnsi="宋体" w:hint="eastAsia"/>
        </w:rPr>
        <w:t>建筑占地面积</w:t>
      </w:r>
      <w:r w:rsidRPr="00DD1C90">
        <w:rPr>
          <w:rFonts w:ascii="宋体" w:eastAsia="宋体" w:hAnsi="宋体"/>
        </w:rPr>
        <w:t>: 1445.28㎡</w:t>
      </w:r>
    </w:p>
    <w:p w14:paraId="1CA984F5" w14:textId="77777777" w:rsidR="00DD1C90" w:rsidRPr="00DD1C90" w:rsidRDefault="00DD1C90" w:rsidP="00E85C91">
      <w:pPr>
        <w:pStyle w:val="a9"/>
        <w:numPr>
          <w:ilvl w:val="0"/>
          <w:numId w:val="0"/>
        </w:numPr>
        <w:spacing w:line="300" w:lineRule="auto"/>
        <w:ind w:firstLineChars="400" w:firstLine="840"/>
        <w:jc w:val="left"/>
        <w:rPr>
          <w:rFonts w:ascii="宋体" w:eastAsia="宋体" w:hAnsi="宋体"/>
        </w:rPr>
      </w:pPr>
      <w:r w:rsidRPr="00DD1C90">
        <w:rPr>
          <w:rFonts w:ascii="宋体" w:eastAsia="宋体" w:hAnsi="宋体" w:hint="eastAsia"/>
        </w:rPr>
        <w:t>总建筑面积</w:t>
      </w:r>
      <w:r w:rsidRPr="00DD1C90">
        <w:rPr>
          <w:rFonts w:ascii="宋体" w:eastAsia="宋体" w:hAnsi="宋体"/>
        </w:rPr>
        <w:t>:2536.02㎡</w:t>
      </w:r>
    </w:p>
    <w:p w14:paraId="2E5E672C" w14:textId="77777777" w:rsidR="00DD1C90" w:rsidRPr="00DD1C90" w:rsidRDefault="00DD1C90" w:rsidP="00E85C91">
      <w:pPr>
        <w:pStyle w:val="a9"/>
        <w:numPr>
          <w:ilvl w:val="0"/>
          <w:numId w:val="0"/>
        </w:numPr>
        <w:spacing w:line="300" w:lineRule="auto"/>
        <w:ind w:firstLineChars="400" w:firstLine="840"/>
        <w:jc w:val="left"/>
        <w:rPr>
          <w:rFonts w:ascii="宋体" w:eastAsia="宋体" w:hAnsi="宋体"/>
        </w:rPr>
      </w:pPr>
      <w:r w:rsidRPr="00DD1C90">
        <w:rPr>
          <w:rFonts w:ascii="宋体" w:eastAsia="宋体" w:hAnsi="宋体"/>
        </w:rPr>
        <w:t>9.00m（室外地坪到屋面面层）</w:t>
      </w:r>
    </w:p>
    <w:p w14:paraId="76A8D75A" w14:textId="77777777" w:rsidR="00DD1C90" w:rsidRPr="00DD1C90" w:rsidRDefault="00DD1C90" w:rsidP="00E85C91">
      <w:pPr>
        <w:pStyle w:val="a9"/>
        <w:numPr>
          <w:ilvl w:val="0"/>
          <w:numId w:val="0"/>
        </w:numPr>
        <w:spacing w:line="300" w:lineRule="auto"/>
        <w:ind w:firstLineChars="400" w:firstLine="840"/>
        <w:jc w:val="left"/>
        <w:rPr>
          <w:rFonts w:ascii="宋体" w:eastAsia="宋体" w:hAnsi="宋体"/>
        </w:rPr>
      </w:pPr>
      <w:r w:rsidRPr="00DD1C90">
        <w:rPr>
          <w:rFonts w:ascii="宋体" w:eastAsia="宋体" w:hAnsi="宋体" w:hint="eastAsia"/>
        </w:rPr>
        <w:t>室内外高差</w:t>
      </w:r>
      <w:r w:rsidRPr="00DD1C90">
        <w:rPr>
          <w:rFonts w:ascii="宋体" w:eastAsia="宋体" w:hAnsi="宋体"/>
        </w:rPr>
        <w:t>:0.45m</w:t>
      </w:r>
    </w:p>
    <w:p w14:paraId="465A85C4" w14:textId="77777777" w:rsidR="00DD1C90" w:rsidRPr="00DD1C90" w:rsidRDefault="00DD1C90" w:rsidP="00E85C91">
      <w:pPr>
        <w:pStyle w:val="a9"/>
        <w:numPr>
          <w:ilvl w:val="0"/>
          <w:numId w:val="0"/>
        </w:numPr>
        <w:spacing w:line="300" w:lineRule="auto"/>
        <w:ind w:firstLineChars="400" w:firstLine="840"/>
        <w:jc w:val="left"/>
        <w:rPr>
          <w:rFonts w:ascii="宋体" w:eastAsia="宋体" w:hAnsi="宋体"/>
        </w:rPr>
      </w:pPr>
      <w:r w:rsidRPr="00DD1C90">
        <w:rPr>
          <w:rFonts w:ascii="宋体" w:eastAsia="宋体" w:hAnsi="宋体" w:hint="eastAsia"/>
        </w:rPr>
        <w:t>建筑层数</w:t>
      </w:r>
      <w:r w:rsidRPr="00DD1C90">
        <w:rPr>
          <w:rFonts w:ascii="宋体" w:eastAsia="宋体" w:hAnsi="宋体"/>
        </w:rPr>
        <w:t>:2层</w:t>
      </w:r>
    </w:p>
    <w:p w14:paraId="19CA839A" w14:textId="77777777" w:rsidR="00DD1C90" w:rsidRPr="00DD1C90" w:rsidRDefault="00DD1C90" w:rsidP="00E85C91">
      <w:pPr>
        <w:pStyle w:val="a9"/>
        <w:numPr>
          <w:ilvl w:val="0"/>
          <w:numId w:val="0"/>
        </w:numPr>
        <w:spacing w:line="300" w:lineRule="auto"/>
        <w:ind w:firstLineChars="400" w:firstLine="840"/>
        <w:jc w:val="left"/>
        <w:rPr>
          <w:rFonts w:ascii="宋体" w:eastAsia="宋体" w:hAnsi="宋体"/>
        </w:rPr>
      </w:pPr>
      <w:r w:rsidRPr="00DD1C90">
        <w:rPr>
          <w:rFonts w:ascii="宋体" w:eastAsia="宋体" w:hAnsi="宋体" w:hint="eastAsia"/>
        </w:rPr>
        <w:t>建筑层高</w:t>
      </w:r>
      <w:r w:rsidRPr="00DD1C90">
        <w:rPr>
          <w:rFonts w:ascii="宋体" w:eastAsia="宋体" w:hAnsi="宋体"/>
        </w:rPr>
        <w:t>:10.8m</w:t>
      </w:r>
    </w:p>
    <w:p w14:paraId="092764CB" w14:textId="332B606C" w:rsidR="00DD1C90" w:rsidRPr="00DD1C90" w:rsidRDefault="00DD1C90" w:rsidP="00E85C91">
      <w:pPr>
        <w:pStyle w:val="a9"/>
        <w:numPr>
          <w:ilvl w:val="0"/>
          <w:numId w:val="6"/>
        </w:numPr>
        <w:spacing w:line="300" w:lineRule="auto"/>
        <w:ind w:left="0" w:firstLineChars="200" w:firstLine="420"/>
        <w:jc w:val="left"/>
        <w:rPr>
          <w:rFonts w:ascii="宋体" w:eastAsia="宋体" w:hAnsi="宋体"/>
        </w:rPr>
      </w:pPr>
      <w:r w:rsidRPr="00DD1C90">
        <w:rPr>
          <w:rFonts w:ascii="宋体" w:eastAsia="宋体" w:hAnsi="宋体"/>
        </w:rPr>
        <w:t>该项目节能目标满足规范要求的65%,在正确使用和正常维护的条件下,外墙外保温工程的使用年限不应少于25年。</w:t>
      </w:r>
    </w:p>
    <w:p w14:paraId="47527BEA" w14:textId="616DEBEF" w:rsidR="00DD1C90" w:rsidRPr="00DD1C90" w:rsidRDefault="00DD1C90" w:rsidP="00E85C91">
      <w:pPr>
        <w:pStyle w:val="a9"/>
        <w:numPr>
          <w:ilvl w:val="0"/>
          <w:numId w:val="6"/>
        </w:numPr>
        <w:spacing w:line="300" w:lineRule="auto"/>
        <w:ind w:left="0" w:firstLineChars="200" w:firstLine="420"/>
        <w:jc w:val="left"/>
        <w:rPr>
          <w:rFonts w:ascii="宋体" w:eastAsia="宋体" w:hAnsi="宋体"/>
        </w:rPr>
      </w:pPr>
      <w:r w:rsidRPr="00DD1C90">
        <w:rPr>
          <w:rFonts w:ascii="宋体" w:eastAsia="宋体" w:hAnsi="宋体"/>
        </w:rPr>
        <w:t>本工程项目地处气候分区严寒地区的</w:t>
      </w:r>
      <w:r w:rsidR="00C97E5F">
        <w:rPr>
          <w:rFonts w:ascii="宋体" w:eastAsia="宋体" w:hAnsi="宋体"/>
        </w:rPr>
        <w:t>B</w:t>
      </w:r>
      <w:r w:rsidRPr="00DD1C90">
        <w:rPr>
          <w:rFonts w:ascii="宋体" w:eastAsia="宋体" w:hAnsi="宋体"/>
        </w:rPr>
        <w:t>区</w:t>
      </w:r>
      <w:r w:rsidR="00C97E5F">
        <w:rPr>
          <w:rFonts w:ascii="宋体" w:eastAsia="宋体" w:hAnsi="宋体" w:hint="eastAsia"/>
        </w:rPr>
        <w:t>。</w:t>
      </w:r>
    </w:p>
    <w:p w14:paraId="42689461" w14:textId="50C57A9A" w:rsidR="00DD1C90" w:rsidRPr="00DD1C90" w:rsidRDefault="00DD1C90" w:rsidP="00E85C91">
      <w:pPr>
        <w:pStyle w:val="a9"/>
        <w:numPr>
          <w:ilvl w:val="0"/>
          <w:numId w:val="6"/>
        </w:numPr>
        <w:spacing w:line="300" w:lineRule="auto"/>
        <w:ind w:left="0" w:firstLineChars="200" w:firstLine="420"/>
        <w:jc w:val="left"/>
        <w:rPr>
          <w:rFonts w:ascii="宋体" w:eastAsia="宋体" w:hAnsi="宋体"/>
        </w:rPr>
      </w:pPr>
      <w:r w:rsidRPr="00DD1C90">
        <w:rPr>
          <w:rFonts w:ascii="宋体" w:eastAsia="宋体" w:hAnsi="宋体"/>
        </w:rPr>
        <w:t>工程所在地该公共建筑全年耗电量指标47.56kWh/㎡。</w:t>
      </w:r>
    </w:p>
    <w:p w14:paraId="411114F2" w14:textId="57EA40D1" w:rsidR="00DD1C90" w:rsidRPr="00DD1C90" w:rsidRDefault="00DD1C90" w:rsidP="00E85C91">
      <w:pPr>
        <w:pStyle w:val="a9"/>
        <w:numPr>
          <w:ilvl w:val="0"/>
          <w:numId w:val="6"/>
        </w:numPr>
        <w:spacing w:line="300" w:lineRule="auto"/>
        <w:ind w:left="0" w:firstLineChars="200" w:firstLine="420"/>
        <w:jc w:val="left"/>
        <w:rPr>
          <w:rFonts w:ascii="宋体" w:eastAsia="宋体" w:hAnsi="宋体"/>
        </w:rPr>
      </w:pPr>
      <w:r w:rsidRPr="00DD1C90">
        <w:rPr>
          <w:rFonts w:ascii="宋体" w:eastAsia="宋体" w:hAnsi="宋体"/>
        </w:rPr>
        <w:t>所设计建筑的窗墙面积比：东0.20,南0.24,西0.22,北0.24；</w:t>
      </w:r>
    </w:p>
    <w:p w14:paraId="475D5B3C" w14:textId="1CCF4DD9" w:rsidR="00DD1C90" w:rsidRPr="00DD1C90" w:rsidRDefault="00DD1C90" w:rsidP="00E85C91">
      <w:pPr>
        <w:pStyle w:val="a9"/>
        <w:numPr>
          <w:ilvl w:val="0"/>
          <w:numId w:val="6"/>
        </w:numPr>
        <w:spacing w:line="300" w:lineRule="auto"/>
        <w:ind w:left="0" w:firstLineChars="200" w:firstLine="420"/>
        <w:jc w:val="left"/>
        <w:rPr>
          <w:rFonts w:ascii="宋体" w:eastAsia="宋体" w:hAnsi="宋体"/>
        </w:rPr>
      </w:pPr>
      <w:r w:rsidRPr="00DD1C90">
        <w:rPr>
          <w:rFonts w:ascii="宋体" w:eastAsia="宋体" w:hAnsi="宋体"/>
        </w:rPr>
        <w:t>该类建筑的窗墙面积比限制：东0.60,南0.60,西0.60,北0.60；</w:t>
      </w:r>
    </w:p>
    <w:p w14:paraId="6381E609" w14:textId="38D34A1F" w:rsidR="00DD1C90" w:rsidRPr="00DD1C90" w:rsidRDefault="00DD1C90" w:rsidP="00E85C91">
      <w:pPr>
        <w:pStyle w:val="a9"/>
        <w:numPr>
          <w:ilvl w:val="0"/>
          <w:numId w:val="6"/>
        </w:numPr>
        <w:spacing w:line="300" w:lineRule="auto"/>
        <w:ind w:left="0" w:firstLineChars="200" w:firstLine="420"/>
        <w:jc w:val="left"/>
        <w:rPr>
          <w:rFonts w:ascii="宋体" w:eastAsia="宋体" w:hAnsi="宋体"/>
        </w:rPr>
      </w:pPr>
      <w:r w:rsidRPr="00DD1C90">
        <w:rPr>
          <w:rFonts w:ascii="宋体" w:eastAsia="宋体" w:hAnsi="宋体"/>
        </w:rPr>
        <w:t>外窗的气密性能10层以下外窗气密性不应低于《建筑外门窗气密，水密，抗风压性能分级及检测方法》GB/T 7106-2008的6级</w:t>
      </w:r>
    </w:p>
    <w:p w14:paraId="0962CDED" w14:textId="21A925E9" w:rsidR="00DD1C90" w:rsidRPr="00DD1C90" w:rsidRDefault="00DD1C90" w:rsidP="00E85C91">
      <w:pPr>
        <w:pStyle w:val="a9"/>
        <w:numPr>
          <w:ilvl w:val="0"/>
          <w:numId w:val="6"/>
        </w:numPr>
        <w:spacing w:line="300" w:lineRule="auto"/>
        <w:ind w:left="0" w:firstLineChars="200" w:firstLine="420"/>
        <w:jc w:val="left"/>
        <w:rPr>
          <w:rFonts w:ascii="宋体" w:eastAsia="宋体" w:hAnsi="宋体"/>
        </w:rPr>
      </w:pPr>
      <w:r w:rsidRPr="00DD1C90">
        <w:rPr>
          <w:rFonts w:ascii="宋体" w:eastAsia="宋体" w:hAnsi="宋体"/>
        </w:rPr>
        <w:t>外门气密性不应低于《建筑外门窗气密，水密，抗风压性能分级及检测方法》GB/T 7106-2008的4级</w:t>
      </w:r>
    </w:p>
    <w:p w14:paraId="45E58AD1" w14:textId="4EBB1FEC" w:rsidR="00DD1C90" w:rsidRDefault="00DD1C90" w:rsidP="00E85C91">
      <w:pPr>
        <w:pStyle w:val="a9"/>
        <w:numPr>
          <w:ilvl w:val="0"/>
          <w:numId w:val="6"/>
        </w:numPr>
        <w:spacing w:line="300" w:lineRule="auto"/>
        <w:ind w:left="0" w:firstLineChars="200" w:firstLine="420"/>
        <w:jc w:val="left"/>
        <w:rPr>
          <w:rFonts w:ascii="宋体" w:eastAsia="宋体" w:hAnsi="宋体"/>
        </w:rPr>
      </w:pPr>
      <w:r w:rsidRPr="00DD1C90">
        <w:rPr>
          <w:rFonts w:ascii="宋体" w:eastAsia="宋体" w:hAnsi="宋体"/>
        </w:rPr>
        <w:t>甲类建筑外窗有效通风换气面积不宜小于所在房间立面面积的10%</w:t>
      </w:r>
    </w:p>
    <w:p w14:paraId="7BC471CE" w14:textId="605A8255" w:rsidR="00C97E5F" w:rsidRDefault="00C97E5F" w:rsidP="00E85C91">
      <w:pPr>
        <w:pStyle w:val="a9"/>
        <w:numPr>
          <w:ilvl w:val="0"/>
          <w:numId w:val="6"/>
        </w:numPr>
        <w:spacing w:line="300" w:lineRule="auto"/>
        <w:ind w:left="0" w:firstLineChars="200" w:firstLine="420"/>
        <w:jc w:val="left"/>
        <w:rPr>
          <w:rFonts w:ascii="宋体" w:eastAsia="宋体" w:hAnsi="宋体"/>
        </w:rPr>
      </w:pPr>
      <w:r w:rsidRPr="00C97E5F">
        <w:rPr>
          <w:rFonts w:ascii="宋体" w:eastAsia="宋体" w:hAnsi="宋体" w:hint="eastAsia"/>
        </w:rPr>
        <w:t>建筑为框架结构，采用外墙外保温体系</w:t>
      </w:r>
    </w:p>
    <w:p w14:paraId="0878B90D" w14:textId="26044AF6" w:rsidR="00C97E5F" w:rsidRPr="00C97E5F" w:rsidRDefault="00C97E5F" w:rsidP="00C97E5F">
      <w:pPr>
        <w:pStyle w:val="a9"/>
        <w:numPr>
          <w:ilvl w:val="0"/>
          <w:numId w:val="6"/>
        </w:numPr>
        <w:spacing w:line="300" w:lineRule="auto"/>
        <w:ind w:left="0" w:firstLineChars="200" w:firstLine="420"/>
        <w:jc w:val="left"/>
        <w:rPr>
          <w:rFonts w:ascii="宋体" w:eastAsia="宋体" w:hAnsi="宋体" w:hint="eastAsia"/>
        </w:rPr>
      </w:pPr>
      <w:r w:rsidRPr="00C97E5F">
        <w:rPr>
          <w:rFonts w:ascii="宋体" w:eastAsia="宋体" w:hAnsi="宋体" w:hint="eastAsia"/>
        </w:rPr>
        <w:lastRenderedPageBreak/>
        <w:t>建筑围护结构各部分的节能措施与热工性能：</w:t>
      </w:r>
      <w:r>
        <w:rPr>
          <w:rFonts w:hint="eastAsia"/>
          <w:noProof/>
        </w:rPr>
        <w:drawing>
          <wp:anchor distT="0" distB="0" distL="114300" distR="114300" simplePos="0" relativeHeight="251659264" behindDoc="0" locked="0" layoutInCell="1" allowOverlap="1" wp14:anchorId="1A5FE0E5" wp14:editId="6B437B5E">
            <wp:simplePos x="0" y="0"/>
            <wp:positionH relativeFrom="column">
              <wp:posOffset>124460</wp:posOffset>
            </wp:positionH>
            <wp:positionV relativeFrom="paragraph">
              <wp:posOffset>457872</wp:posOffset>
            </wp:positionV>
            <wp:extent cx="5274310" cy="2087880"/>
            <wp:effectExtent l="57150" t="57150" r="97790" b="10287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08788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54AFF5B" w14:textId="77777777" w:rsidR="00FE2D75" w:rsidRPr="00C97E5F" w:rsidRDefault="00FE2D75" w:rsidP="00FE2D75">
      <w:pPr>
        <w:pStyle w:val="a9"/>
        <w:numPr>
          <w:ilvl w:val="0"/>
          <w:numId w:val="0"/>
        </w:numPr>
        <w:spacing w:line="300" w:lineRule="auto"/>
        <w:ind w:left="420"/>
        <w:jc w:val="left"/>
        <w:rPr>
          <w:rFonts w:ascii="宋体" w:eastAsia="宋体" w:hAnsi="宋体"/>
        </w:rPr>
      </w:pPr>
    </w:p>
    <w:p w14:paraId="35DAFCF0" w14:textId="5096D7E7" w:rsidR="00E32F81" w:rsidRPr="00DD1C90" w:rsidRDefault="00E32F81" w:rsidP="00DD1C90">
      <w:pPr>
        <w:pStyle w:val="a9"/>
        <w:numPr>
          <w:ilvl w:val="0"/>
          <w:numId w:val="5"/>
        </w:numPr>
        <w:spacing w:line="300" w:lineRule="auto"/>
        <w:jc w:val="left"/>
        <w:rPr>
          <w:rFonts w:ascii="宋体" w:eastAsia="宋体" w:hAnsi="宋体"/>
          <w:b/>
          <w:bCs/>
          <w:sz w:val="24"/>
          <w:szCs w:val="24"/>
          <w:u w:val="single"/>
        </w:rPr>
      </w:pPr>
      <w:r w:rsidRPr="00DD1C90">
        <w:rPr>
          <w:rFonts w:ascii="宋体" w:eastAsia="宋体" w:hAnsi="宋体" w:hint="eastAsia"/>
          <w:b/>
          <w:bCs/>
          <w:sz w:val="24"/>
          <w:szCs w:val="24"/>
          <w:u w:val="single"/>
        </w:rPr>
        <w:t>建筑工程节能技术</w:t>
      </w:r>
    </w:p>
    <w:p w14:paraId="3E26F0D7" w14:textId="090FBB05" w:rsidR="00B52BEE" w:rsidRPr="00B52BEE" w:rsidRDefault="00B52BEE" w:rsidP="00E32F81">
      <w:pPr>
        <w:numPr>
          <w:ilvl w:val="0"/>
          <w:numId w:val="0"/>
        </w:numPr>
        <w:spacing w:line="300" w:lineRule="auto"/>
        <w:ind w:firstLineChars="200" w:firstLine="420"/>
        <w:rPr>
          <w:rFonts w:ascii="宋体" w:eastAsia="宋体" w:hAnsi="宋体"/>
        </w:rPr>
      </w:pPr>
      <w:r>
        <w:rPr>
          <w:rFonts w:ascii="宋体" w:eastAsia="宋体" w:hAnsi="宋体" w:hint="eastAsia"/>
        </w:rPr>
        <w:t>本建筑在</w:t>
      </w:r>
      <w:r w:rsidRPr="00B52BEE">
        <w:rPr>
          <w:rFonts w:ascii="宋体" w:eastAsia="宋体" w:hAnsi="宋体"/>
        </w:rPr>
        <w:t>规划和设计时，根据大范围的气候条件影响，针对建筑自身所处的具体环境气候特征，重视利用自然环境创造良好的建筑室内微气候，以尽量减少对建筑设备的依赖。具体措施可归纳为以下三个方面：合理选择建筑的地址、采取合理的外部环境设计（如：在建筑周围布置树木、植被、水面、假山、围墙）；合理设计建筑形体，以改善既有的微气候；合理的建筑形体设计是充分利用建筑室外微环境来改善建筑室内微环境的关键部分。</w:t>
      </w:r>
    </w:p>
    <w:p w14:paraId="76F23DBF" w14:textId="77777777" w:rsidR="00B52BEE" w:rsidRPr="00B52BEE" w:rsidRDefault="00B52BEE" w:rsidP="00E32F81">
      <w:pPr>
        <w:spacing w:line="300" w:lineRule="auto"/>
        <w:rPr>
          <w:rFonts w:ascii="宋体" w:eastAsia="宋体" w:hAnsi="宋体"/>
          <w:b/>
          <w:bCs/>
        </w:rPr>
      </w:pPr>
      <w:r w:rsidRPr="00B52BEE">
        <w:rPr>
          <w:rFonts w:ascii="宋体" w:eastAsia="宋体" w:hAnsi="宋体" w:hint="eastAsia"/>
          <w:b/>
          <w:bCs/>
        </w:rPr>
        <w:t>外墙节能技术</w:t>
      </w:r>
    </w:p>
    <w:p w14:paraId="4637B9D4" w14:textId="6E127A0E" w:rsidR="00B52BEE" w:rsidRPr="00B52BEE" w:rsidRDefault="00B52BEE" w:rsidP="00E32F81">
      <w:pPr>
        <w:numPr>
          <w:ilvl w:val="0"/>
          <w:numId w:val="0"/>
        </w:numPr>
        <w:spacing w:line="300" w:lineRule="auto"/>
        <w:ind w:firstLineChars="200" w:firstLine="420"/>
        <w:rPr>
          <w:rFonts w:ascii="宋体" w:eastAsia="宋体" w:hAnsi="宋体"/>
        </w:rPr>
      </w:pPr>
      <w:r w:rsidRPr="00B52BEE">
        <w:rPr>
          <w:rFonts w:ascii="宋体" w:eastAsia="宋体" w:hAnsi="宋体"/>
        </w:rPr>
        <w:t>就墙体节能而言，传统的用重质单一材料增加墙体厚度来达到保温的作法已不能适应节能和环保的要求，而复合墙体越来越成为墙体的主流。复合墙体一般用块体材料或钢筋混凝土作为承重结构，与保温隔热材料复合，或在框架结构中用薄壁材料加以保温、隔热材料作为墙体。建筑用保温、隔热材料主要有岩棉、矿渣棉、玻璃棉、聚苯乙烯泡沫等。</w:t>
      </w:r>
    </w:p>
    <w:p w14:paraId="62E0D427" w14:textId="77777777" w:rsidR="00B52BEE" w:rsidRPr="00B52BEE" w:rsidRDefault="00B52BEE" w:rsidP="00E32F81">
      <w:pPr>
        <w:spacing w:line="300" w:lineRule="auto"/>
        <w:rPr>
          <w:rFonts w:ascii="宋体" w:eastAsia="宋体" w:hAnsi="宋体"/>
          <w:b/>
          <w:bCs/>
        </w:rPr>
      </w:pPr>
      <w:r w:rsidRPr="00B52BEE">
        <w:rPr>
          <w:rFonts w:ascii="宋体" w:eastAsia="宋体" w:hAnsi="宋体" w:hint="eastAsia"/>
          <w:b/>
          <w:bCs/>
        </w:rPr>
        <w:t>门窗节能技术</w:t>
      </w:r>
    </w:p>
    <w:p w14:paraId="6AA53B9A" w14:textId="5A3D3526" w:rsidR="00B52BEE" w:rsidRDefault="00B52BEE" w:rsidP="00E32F81">
      <w:pPr>
        <w:numPr>
          <w:ilvl w:val="0"/>
          <w:numId w:val="0"/>
        </w:numPr>
        <w:spacing w:line="300" w:lineRule="auto"/>
        <w:ind w:firstLineChars="200" w:firstLine="420"/>
        <w:rPr>
          <w:rFonts w:ascii="宋体" w:eastAsia="宋体" w:hAnsi="宋体"/>
        </w:rPr>
      </w:pPr>
      <w:r w:rsidRPr="00B52BEE">
        <w:rPr>
          <w:rFonts w:ascii="宋体" w:eastAsia="宋体" w:hAnsi="宋体"/>
        </w:rPr>
        <w:t>对门窗的节能处理主要是改善材料的保温隔热性能和提高门窗的密闭性能。从门窗材料来看，近些年出现了铝合金断热型材、铝木复合型材、钢塑整体挤出型材、塑木复合型材以及UPVC塑料型材等一些技术含量较高的节能产品。</w:t>
      </w:r>
    </w:p>
    <w:p w14:paraId="0CF4D710" w14:textId="77777777" w:rsidR="00B52BEE" w:rsidRPr="00B52BEE" w:rsidRDefault="00B52BEE" w:rsidP="00E32F81">
      <w:pPr>
        <w:spacing w:line="300" w:lineRule="auto"/>
        <w:rPr>
          <w:rFonts w:ascii="宋体" w:eastAsia="宋体" w:hAnsi="宋体"/>
          <w:b/>
          <w:bCs/>
        </w:rPr>
      </w:pPr>
      <w:r w:rsidRPr="00B52BEE">
        <w:rPr>
          <w:rFonts w:ascii="宋体" w:eastAsia="宋体" w:hAnsi="宋体" w:hint="eastAsia"/>
          <w:b/>
          <w:bCs/>
        </w:rPr>
        <w:t>屋顶节能技术</w:t>
      </w:r>
    </w:p>
    <w:p w14:paraId="183A751A" w14:textId="5A0DB09C" w:rsidR="00A2042A" w:rsidRPr="00B52BEE" w:rsidRDefault="00B52BEE" w:rsidP="00E32F81">
      <w:pPr>
        <w:numPr>
          <w:ilvl w:val="0"/>
          <w:numId w:val="0"/>
        </w:numPr>
        <w:spacing w:line="300" w:lineRule="auto"/>
        <w:ind w:firstLineChars="200" w:firstLine="420"/>
        <w:rPr>
          <w:rFonts w:ascii="宋体" w:eastAsia="宋体" w:hAnsi="宋体"/>
        </w:rPr>
      </w:pPr>
      <w:r w:rsidRPr="00B52BEE">
        <w:rPr>
          <w:rFonts w:ascii="宋体" w:eastAsia="宋体" w:hAnsi="宋体" w:hint="eastAsia"/>
        </w:rPr>
        <w:t>屋顶的保温、隔热是围护结构节能的重点之一。在寒冷的地区屋顶设保温层，以阻止室内热量散失；在炎热的地区屋顶设置隔热降温层以阻止太阳的辐射热传至室内；而在冬冷夏热地区，建筑节能则要冬、夏兼顾。保温常用的技术措施是在屋顶防水层下设置导热系数小的轻质材料用作保温，如膨胀珍珠岩、玻璃棉等；也可在屋面防水层以上设置聚苯乙烯泡沫。利用新能源</w:t>
      </w:r>
      <w:r w:rsidRPr="00B52BEE">
        <w:rPr>
          <w:rFonts w:ascii="宋体" w:eastAsia="宋体" w:hAnsi="宋体"/>
        </w:rPr>
        <w:t>在节约不可再生能源的同时，人类还在寻求开发利用新能源以适应人口增加和能源枯竭的现实，这是历史赋予现代人的使命，而新能源有效地开发利用必定要以高科技为依托。如开发利用太阳能、风能、潮汐能、水力、地热及其他可再生的自然界能源，必须借助于先进的技术手段，并且要不断地完善和提高，以达到更有效地利用这些能源。</w:t>
      </w:r>
    </w:p>
    <w:sectPr w:rsidR="00A2042A" w:rsidRPr="00B52BE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52F4" w14:textId="77777777" w:rsidR="009C1C26" w:rsidRDefault="009C1C26" w:rsidP="00B52BEE">
      <w:r>
        <w:separator/>
      </w:r>
    </w:p>
  </w:endnote>
  <w:endnote w:type="continuationSeparator" w:id="0">
    <w:p w14:paraId="7907A414" w14:textId="77777777" w:rsidR="009C1C26" w:rsidRDefault="009C1C26" w:rsidP="00B5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3ED3" w14:textId="77777777" w:rsidR="009C1C26" w:rsidRDefault="009C1C26" w:rsidP="00B52BEE">
      <w:r>
        <w:separator/>
      </w:r>
    </w:p>
  </w:footnote>
  <w:footnote w:type="continuationSeparator" w:id="0">
    <w:p w14:paraId="44B22D2D" w14:textId="77777777" w:rsidR="009C1C26" w:rsidRDefault="009C1C26" w:rsidP="00B5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618F" w14:textId="0F006F84" w:rsidR="00DD1C90" w:rsidRPr="00DD1C90" w:rsidRDefault="00DD1C90" w:rsidP="00DD1C90">
    <w:pPr>
      <w:numPr>
        <w:ilvl w:val="0"/>
        <w:numId w:val="0"/>
      </w:numPr>
      <w:jc w:val="center"/>
      <w:rPr>
        <w:rFonts w:ascii="宋体" w:eastAsia="宋体" w:hAnsi="宋体"/>
        <w:szCs w:val="21"/>
      </w:rPr>
    </w:pPr>
    <w:r w:rsidRPr="00DD1C90">
      <w:rPr>
        <w:rFonts w:ascii="宋体" w:eastAsia="宋体" w:hAnsi="宋体" w:hint="eastAsia"/>
        <w:szCs w:val="21"/>
      </w:rPr>
      <w:t>筑轩绘青•庙音韵邻—绿色共享社区活动中心营造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3EF"/>
    <w:multiLevelType w:val="multilevel"/>
    <w:tmpl w:val="2A60255A"/>
    <w:numStyleLink w:val="a"/>
  </w:abstractNum>
  <w:abstractNum w:abstractNumId="1" w15:restartNumberingAfterBreak="0">
    <w:nsid w:val="26BE0E26"/>
    <w:multiLevelType w:val="multilevel"/>
    <w:tmpl w:val="2A60255A"/>
    <w:styleLink w:val="a"/>
    <w:lvl w:ilvl="0">
      <w:start w:val="1"/>
      <w:numFmt w:val="chineseCountingThousand"/>
      <w:lvlText w:val="第%1章"/>
      <w:lvlJc w:val="left"/>
      <w:pPr>
        <w:ind w:left="0" w:firstLine="0"/>
      </w:pPr>
      <w:rPr>
        <w:rFonts w:eastAsia="宋体" w:hint="eastAsia"/>
      </w:rPr>
    </w:lvl>
    <w:lvl w:ilvl="1">
      <w:start w:val="1"/>
      <w:numFmt w:val="decimal"/>
      <w:isLgl/>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isLgl/>
      <w:lvlText w:val="（%1）"/>
      <w:lvlJc w:val="left"/>
      <w:pPr>
        <w:ind w:left="0" w:firstLine="0"/>
      </w:pPr>
      <w:rPr>
        <w:rFonts w:hint="eastAsia"/>
      </w:rPr>
    </w:lvl>
    <w:lvl w:ilvl="4">
      <w:start w:val="1"/>
      <w:numFmt w:val="none"/>
      <w:pStyle w:val="a0"/>
      <w:lvlText w:val=""/>
      <w:lvlJc w:val="left"/>
      <w:pPr>
        <w:ind w:left="0" w:firstLine="0"/>
      </w:pPr>
      <w:rPr>
        <w:rFonts w:hint="eastAsia"/>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2" w15:restartNumberingAfterBreak="0">
    <w:nsid w:val="2AA64ABC"/>
    <w:multiLevelType w:val="hybridMultilevel"/>
    <w:tmpl w:val="BE881C52"/>
    <w:lvl w:ilvl="0" w:tplc="9F5045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162924"/>
    <w:multiLevelType w:val="multilevel"/>
    <w:tmpl w:val="D9D44376"/>
    <w:lvl w:ilvl="0">
      <w:start w:val="1"/>
      <w:numFmt w:val="chineseCountingThousand"/>
      <w:lvlText w:val="第%1章."/>
      <w:lvlJc w:val="left"/>
      <w:pPr>
        <w:ind w:left="-32767" w:firstLine="32767"/>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94" w:hanging="794"/>
      </w:pPr>
      <w:rPr>
        <w:rFonts w:hint="eastAsia"/>
      </w:rPr>
    </w:lvl>
    <w:lvl w:ilvl="3">
      <w:start w:val="1"/>
      <w:numFmt w:val="none"/>
      <w:lvlText w:val=""/>
      <w:lvlJc w:val="left"/>
      <w:pPr>
        <w:ind w:left="851" w:hanging="851"/>
      </w:pPr>
      <w:rPr>
        <w:rFonts w:hint="eastAsia"/>
      </w:rPr>
    </w:lvl>
    <w:lvl w:ilvl="4">
      <w:start w:val="1"/>
      <w:numFmt w:val="none"/>
      <w:lvlText w:val=""/>
      <w:lvlJc w:val="left"/>
      <w:pPr>
        <w:ind w:left="992" w:hanging="992"/>
      </w:pPr>
      <w:rPr>
        <w:rFonts w:hint="eastAsia"/>
      </w:rPr>
    </w:lvl>
    <w:lvl w:ilvl="5">
      <w:start w:val="1"/>
      <w:numFmt w:val="none"/>
      <w:lvlText w:val=""/>
      <w:lvlJc w:val="left"/>
      <w:pPr>
        <w:ind w:left="1134" w:hanging="1134"/>
      </w:pPr>
      <w:rPr>
        <w:rFonts w:hint="eastAsia"/>
      </w:rPr>
    </w:lvl>
    <w:lvl w:ilvl="6">
      <w:start w:val="1"/>
      <w:numFmt w:val="none"/>
      <w:lvlText w:val=""/>
      <w:lvlJc w:val="left"/>
      <w:pPr>
        <w:ind w:left="1276" w:hanging="1276"/>
      </w:pPr>
      <w:rPr>
        <w:rFonts w:hint="eastAsia"/>
      </w:rPr>
    </w:lvl>
    <w:lvl w:ilvl="7">
      <w:start w:val="1"/>
      <w:numFmt w:val="none"/>
      <w:lvlText w:val=""/>
      <w:lvlJc w:val="left"/>
      <w:pPr>
        <w:ind w:left="1418" w:hanging="1418"/>
      </w:pPr>
      <w:rPr>
        <w:rFonts w:hint="eastAsia"/>
      </w:rPr>
    </w:lvl>
    <w:lvl w:ilvl="8">
      <w:start w:val="1"/>
      <w:numFmt w:val="none"/>
      <w:lvlText w:val=""/>
      <w:lvlJc w:val="left"/>
      <w:pPr>
        <w:ind w:left="1559" w:hanging="1559"/>
      </w:pPr>
      <w:rPr>
        <w:rFonts w:hint="eastAsia"/>
      </w:rPr>
    </w:lvl>
  </w:abstractNum>
  <w:abstractNum w:abstractNumId="4" w15:restartNumberingAfterBreak="0">
    <w:nsid w:val="7F7A42D8"/>
    <w:multiLevelType w:val="hybridMultilevel"/>
    <w:tmpl w:val="2AF6781E"/>
    <w:lvl w:ilvl="0" w:tplc="D0A01490">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1"/>
  </w:num>
  <w:num w:numId="2">
    <w:abstractNumId w:val="1"/>
  </w:num>
  <w:num w:numId="3">
    <w:abstractNumId w:val="1"/>
  </w:num>
  <w:num w:numId="4">
    <w:abstractNumId w:val="0"/>
  </w:num>
  <w:num w:numId="5">
    <w:abstractNumId w:val="2"/>
  </w:num>
  <w:num w:numId="6">
    <w:abstractNumId w:val="4"/>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0"/>
    <w:rsid w:val="00140A84"/>
    <w:rsid w:val="008C5B8B"/>
    <w:rsid w:val="009C1C26"/>
    <w:rsid w:val="00A2042A"/>
    <w:rsid w:val="00AA6210"/>
    <w:rsid w:val="00B52BEE"/>
    <w:rsid w:val="00C97E5F"/>
    <w:rsid w:val="00D13FDF"/>
    <w:rsid w:val="00DD1C90"/>
    <w:rsid w:val="00E32F81"/>
    <w:rsid w:val="00E85C91"/>
    <w:rsid w:val="00F87936"/>
    <w:rsid w:val="00FE2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B9B8E"/>
  <w15:chartTrackingRefBased/>
  <w15:docId w15:val="{C39A3E3B-7F7C-4A1E-96B0-BD7C4715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numPr>
        <w:ilvl w:val="4"/>
        <w:numId w:val="3"/>
      </w:numPr>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样式1"/>
    <w:uiPriority w:val="99"/>
    <w:rsid w:val="00140A84"/>
  </w:style>
  <w:style w:type="numbering" w:customStyle="1" w:styleId="a">
    <w:name w:val="论文目录"/>
    <w:uiPriority w:val="99"/>
    <w:rsid w:val="00D13FDF"/>
    <w:pPr>
      <w:numPr>
        <w:numId w:val="1"/>
      </w:numPr>
    </w:pPr>
  </w:style>
  <w:style w:type="numbering" w:customStyle="1" w:styleId="a4">
    <w:name w:val="论文"/>
    <w:uiPriority w:val="99"/>
    <w:rsid w:val="008C5B8B"/>
  </w:style>
  <w:style w:type="paragraph" w:styleId="a5">
    <w:name w:val="header"/>
    <w:basedOn w:val="a0"/>
    <w:link w:val="a6"/>
    <w:uiPriority w:val="99"/>
    <w:unhideWhenUsed/>
    <w:rsid w:val="00B52B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B52BEE"/>
    <w:rPr>
      <w:sz w:val="18"/>
      <w:szCs w:val="18"/>
    </w:rPr>
  </w:style>
  <w:style w:type="paragraph" w:styleId="a7">
    <w:name w:val="footer"/>
    <w:basedOn w:val="a0"/>
    <w:link w:val="a8"/>
    <w:uiPriority w:val="99"/>
    <w:unhideWhenUsed/>
    <w:rsid w:val="00B52BEE"/>
    <w:pPr>
      <w:tabs>
        <w:tab w:val="center" w:pos="4153"/>
        <w:tab w:val="right" w:pos="8306"/>
      </w:tabs>
      <w:snapToGrid w:val="0"/>
      <w:jc w:val="left"/>
    </w:pPr>
    <w:rPr>
      <w:sz w:val="18"/>
      <w:szCs w:val="18"/>
    </w:rPr>
  </w:style>
  <w:style w:type="character" w:customStyle="1" w:styleId="a8">
    <w:name w:val="页脚 字符"/>
    <w:basedOn w:val="a1"/>
    <w:link w:val="a7"/>
    <w:uiPriority w:val="99"/>
    <w:rsid w:val="00B52BEE"/>
    <w:rPr>
      <w:sz w:val="18"/>
      <w:szCs w:val="18"/>
    </w:rPr>
  </w:style>
  <w:style w:type="paragraph" w:styleId="a9">
    <w:name w:val="List Paragraph"/>
    <w:basedOn w:val="a0"/>
    <w:uiPriority w:val="34"/>
    <w:qFormat/>
    <w:rsid w:val="00E3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liyuannlnlnl@163.com</dc:creator>
  <cp:keywords/>
  <dc:description/>
  <cp:lastModifiedBy>1105179830@qq.com</cp:lastModifiedBy>
  <cp:revision>9</cp:revision>
  <dcterms:created xsi:type="dcterms:W3CDTF">2022-01-05T15:03:00Z</dcterms:created>
  <dcterms:modified xsi:type="dcterms:W3CDTF">2022-01-05T15:34:00Z</dcterms:modified>
</cp:coreProperties>
</file>