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lang w:val="en-US" w:eastAsia="zh-CN"/>
        </w:rPr>
      </w:pPr>
      <w:r>
        <w:rPr>
          <w:rFonts w:hint="eastAsia"/>
          <w:lang w:val="en-US" w:eastAsia="zh-CN"/>
        </w:rPr>
        <w:t xml:space="preserve">                             </w:t>
      </w:r>
      <w:r>
        <w:rPr>
          <w:rFonts w:hint="eastAsia"/>
          <w:b/>
          <w:bCs/>
          <w:sz w:val="36"/>
          <w:szCs w:val="44"/>
          <w:lang w:val="en-US" w:eastAsia="zh-CN"/>
        </w:rPr>
        <w:t>苗木购销合同</w:t>
      </w:r>
      <w:r>
        <w:rPr>
          <w:rFonts w:hint="eastAsia"/>
          <w:lang w:val="en-US" w:eastAsia="zh-CN"/>
        </w:rPr>
        <w:t xml:space="preserve">                           </w:t>
      </w:r>
    </w:p>
    <w:p>
      <w:pPr>
        <w:rPr>
          <w:rFonts w:hint="eastAsia"/>
          <w:lang w:val="en-US" w:eastAsia="zh-CN"/>
        </w:rPr>
      </w:pPr>
    </w:p>
    <w:p>
      <w:pPr>
        <w:rPr>
          <w:rFonts w:hint="eastAsia"/>
        </w:rPr>
      </w:pPr>
      <w:r>
        <w:rPr>
          <w:rFonts w:hint="eastAsia"/>
          <w:lang w:val="en-US" w:eastAsia="zh-CN"/>
        </w:rPr>
        <w:t xml:space="preserve">                                                                    </w:t>
      </w:r>
      <w:r>
        <w:rPr>
          <w:rFonts w:hint="eastAsia"/>
        </w:rPr>
        <w:t>编号：</w:t>
      </w:r>
    </w:p>
    <w:p>
      <w:pPr>
        <w:rPr>
          <w:rFonts w:hint="eastAsia"/>
          <w:sz w:val="24"/>
          <w:szCs w:val="32"/>
        </w:rPr>
      </w:pPr>
      <w:r>
        <w:rPr>
          <w:rFonts w:hint="eastAsia"/>
          <w:sz w:val="24"/>
          <w:szCs w:val="32"/>
        </w:rPr>
        <w:t>甲方：</w:t>
      </w:r>
      <w:r>
        <w:rPr>
          <w:rFonts w:hint="eastAsia"/>
          <w:sz w:val="24"/>
          <w:szCs w:val="32"/>
          <w:lang w:eastAsia="zh-CN"/>
        </w:rPr>
        <w:t>南阳金中原农业发展有限公司</w:t>
      </w:r>
    </w:p>
    <w:p>
      <w:pPr>
        <w:rPr>
          <w:rFonts w:hint="eastAsia"/>
          <w:sz w:val="24"/>
          <w:szCs w:val="32"/>
        </w:rPr>
      </w:pPr>
    </w:p>
    <w:p>
      <w:pPr>
        <w:rPr>
          <w:rFonts w:hint="eastAsia"/>
          <w:sz w:val="24"/>
          <w:szCs w:val="32"/>
        </w:rPr>
      </w:pPr>
      <w:r>
        <w:rPr>
          <w:rFonts w:hint="eastAsia"/>
          <w:sz w:val="24"/>
          <w:szCs w:val="32"/>
        </w:rPr>
        <w:t>乙方：</w:t>
      </w:r>
      <w:r>
        <w:rPr>
          <w:rFonts w:hint="eastAsia"/>
          <w:sz w:val="24"/>
          <w:szCs w:val="32"/>
          <w:lang w:eastAsia="zh-CN"/>
        </w:rPr>
        <w:t>南阳涌金实业有限公司</w:t>
      </w:r>
    </w:p>
    <w:p>
      <w:pPr>
        <w:rPr>
          <w:rFonts w:hint="eastAsia"/>
          <w:sz w:val="24"/>
          <w:szCs w:val="32"/>
        </w:rPr>
      </w:pPr>
    </w:p>
    <w:p>
      <w:pPr>
        <w:spacing w:line="360" w:lineRule="auto"/>
        <w:ind w:left="0" w:leftChars="0"/>
        <w:rPr>
          <w:rFonts w:hint="eastAsia"/>
          <w:sz w:val="24"/>
          <w:szCs w:val="32"/>
        </w:rPr>
      </w:pPr>
      <w:r>
        <w:rPr>
          <w:rFonts w:hint="eastAsia"/>
          <w:sz w:val="24"/>
          <w:szCs w:val="32"/>
        </w:rPr>
        <w:t>就甲方向乙方购买各品种规格的事宜，经甲乙平等友好协商，根据《中华人民共和国合同法》签订本合同，以资共同遵守。</w:t>
      </w:r>
    </w:p>
    <w:p>
      <w:pPr>
        <w:spacing w:line="360" w:lineRule="auto"/>
        <w:ind w:left="0" w:leftChars="0"/>
        <w:rPr>
          <w:rFonts w:hint="eastAsia"/>
          <w:sz w:val="24"/>
          <w:szCs w:val="32"/>
        </w:rPr>
      </w:pPr>
      <w:r>
        <w:rPr>
          <w:rFonts w:hint="eastAsia"/>
          <w:sz w:val="24"/>
          <w:szCs w:val="32"/>
        </w:rPr>
        <w:t>一、甲方所购苗木品种</w:t>
      </w:r>
    </w:p>
    <w:p>
      <w:pPr>
        <w:spacing w:line="360" w:lineRule="auto"/>
        <w:ind w:left="0" w:leftChars="0"/>
        <w:rPr>
          <w:rFonts w:hint="eastAsia"/>
          <w:sz w:val="24"/>
          <w:szCs w:val="32"/>
        </w:rPr>
      </w:pPr>
      <w:r>
        <w:rPr>
          <w:rFonts w:hint="eastAsia"/>
          <w:sz w:val="24"/>
          <w:szCs w:val="32"/>
        </w:rPr>
        <w:t>乙方供应的计价苗木品种主要有：</w:t>
      </w:r>
      <w:r>
        <w:rPr>
          <w:rFonts w:hint="eastAsia"/>
          <w:sz w:val="24"/>
          <w:szCs w:val="32"/>
          <w:lang w:eastAsia="zh-CN"/>
        </w:rPr>
        <w:t>核桃</w:t>
      </w:r>
      <w:r>
        <w:rPr>
          <w:rFonts w:hint="eastAsia"/>
          <w:sz w:val="24"/>
          <w:szCs w:val="32"/>
        </w:rPr>
        <w:t xml:space="preserve"> </w:t>
      </w:r>
      <w:r>
        <w:rPr>
          <w:rFonts w:hint="eastAsia"/>
          <w:sz w:val="24"/>
          <w:szCs w:val="32"/>
          <w:lang w:eastAsia="zh-CN"/>
        </w:rPr>
        <w:t>、山桐子、垂柳、紫薇、银杏杉木等，</w:t>
      </w:r>
      <w:r>
        <w:rPr>
          <w:rFonts w:hint="eastAsia"/>
          <w:sz w:val="24"/>
          <w:szCs w:val="32"/>
        </w:rPr>
        <w:t>其余不计价品种作示范样本，仅供甲方购苗参考。</w:t>
      </w:r>
    </w:p>
    <w:p>
      <w:pPr>
        <w:spacing w:line="360" w:lineRule="auto"/>
        <w:ind w:left="0" w:leftChars="0"/>
        <w:rPr>
          <w:rFonts w:hint="eastAsia"/>
          <w:sz w:val="24"/>
          <w:szCs w:val="32"/>
        </w:rPr>
      </w:pPr>
      <w:r>
        <w:rPr>
          <w:rFonts w:hint="eastAsia"/>
          <w:sz w:val="24"/>
          <w:szCs w:val="32"/>
        </w:rPr>
        <w:t>二、苗木品种、规格、技术要求、数量、价格</w:t>
      </w:r>
    </w:p>
    <w:p>
      <w:pPr>
        <w:spacing w:line="360" w:lineRule="auto"/>
        <w:ind w:left="0" w:leftChars="0"/>
        <w:rPr>
          <w:rFonts w:hint="eastAsia"/>
          <w:sz w:val="24"/>
          <w:szCs w:val="32"/>
        </w:rPr>
      </w:pPr>
      <w:r>
        <w:rPr>
          <w:rFonts w:hint="eastAsia"/>
          <w:sz w:val="24"/>
          <w:szCs w:val="32"/>
        </w:rPr>
        <w:t>1、 各品种、规格及价格均经甲乙双方协定（见外购苗木清单），苗木基本树形以乙方或甲方拍照片为准。</w:t>
      </w:r>
    </w:p>
    <w:p>
      <w:pPr>
        <w:spacing w:line="360" w:lineRule="auto"/>
        <w:ind w:left="0" w:leftChars="0"/>
        <w:rPr>
          <w:rFonts w:hint="eastAsia"/>
          <w:sz w:val="24"/>
          <w:szCs w:val="32"/>
        </w:rPr>
      </w:pPr>
      <w:r>
        <w:rPr>
          <w:rFonts w:hint="eastAsia"/>
          <w:sz w:val="24"/>
          <w:szCs w:val="32"/>
        </w:rPr>
        <w:t>2、 乙方以为购买苗木清单及甲方现场监督人员的监督作甲方验收苗木的标准，并以外购苗木验收结算作为最终结算依据。</w:t>
      </w:r>
    </w:p>
    <w:tbl>
      <w:tblPr>
        <w:tblStyle w:val="3"/>
        <w:tblW w:w="9532" w:type="dxa"/>
        <w:tblInd w:w="-93" w:type="dxa"/>
        <w:tblLayout w:type="fixed"/>
        <w:tblCellMar>
          <w:top w:w="0" w:type="dxa"/>
          <w:left w:w="15" w:type="dxa"/>
          <w:bottom w:w="0" w:type="dxa"/>
          <w:right w:w="15" w:type="dxa"/>
        </w:tblCellMar>
      </w:tblPr>
      <w:tblGrid>
        <w:gridCol w:w="751"/>
        <w:gridCol w:w="751"/>
        <w:gridCol w:w="935"/>
        <w:gridCol w:w="2130"/>
        <w:gridCol w:w="3180"/>
        <w:gridCol w:w="630"/>
        <w:gridCol w:w="1155"/>
      </w:tblGrid>
      <w:tr>
        <w:tblPrEx>
          <w:tblLayout w:type="fixed"/>
          <w:tblCellMar>
            <w:top w:w="0" w:type="dxa"/>
            <w:left w:w="15" w:type="dxa"/>
            <w:bottom w:w="0" w:type="dxa"/>
            <w:right w:w="15" w:type="dxa"/>
          </w:tblCellMar>
        </w:tblPrEx>
        <w:trPr>
          <w:trHeight w:val="285" w:hRule="atLeast"/>
        </w:trPr>
        <w:tc>
          <w:tcPr>
            <w:tcW w:w="751" w:type="dxa"/>
            <w:tcBorders>
              <w:top w:val="single" w:color="000000" w:sz="4" w:space="0"/>
              <w:left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包号</w:t>
            </w:r>
          </w:p>
        </w:tc>
        <w:tc>
          <w:tcPr>
            <w:tcW w:w="751"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树种</w:t>
            </w:r>
          </w:p>
        </w:tc>
        <w:tc>
          <w:tcPr>
            <w:tcW w:w="935"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苗木种类</w:t>
            </w:r>
          </w:p>
        </w:tc>
        <w:tc>
          <w:tcPr>
            <w:tcW w:w="2130"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品种</w:t>
            </w:r>
          </w:p>
        </w:tc>
        <w:tc>
          <w:tcPr>
            <w:tcW w:w="3180"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规格要求</w:t>
            </w:r>
          </w:p>
        </w:tc>
        <w:tc>
          <w:tcPr>
            <w:tcW w:w="630"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单位</w:t>
            </w:r>
          </w:p>
        </w:tc>
        <w:tc>
          <w:tcPr>
            <w:tcW w:w="1155" w:type="dxa"/>
            <w:tcBorders>
              <w:top w:val="single" w:color="000000" w:sz="4" w:space="0"/>
              <w:right w:val="single" w:color="000000" w:sz="4" w:space="0"/>
            </w:tcBorders>
            <w:vAlign w:val="center"/>
          </w:tcPr>
          <w:p>
            <w:pPr>
              <w:autoSpaceDN w:val="0"/>
              <w:jc w:val="center"/>
              <w:textAlignment w:val="center"/>
              <w:rPr>
                <w:rFonts w:ascii="黑体" w:hAnsi="黑体" w:eastAsia="黑体"/>
                <w:color w:val="000000"/>
                <w:sz w:val="24"/>
                <w:szCs w:val="24"/>
              </w:rPr>
            </w:pPr>
            <w:r>
              <w:rPr>
                <w:rFonts w:ascii="黑体" w:hAnsi="黑体" w:eastAsia="黑体"/>
                <w:color w:val="000000"/>
                <w:sz w:val="24"/>
                <w:szCs w:val="24"/>
              </w:rPr>
              <w:t>数量</w:t>
            </w:r>
          </w:p>
        </w:tc>
      </w:tr>
      <w:tr>
        <w:tblPrEx>
          <w:tblLayout w:type="fixed"/>
          <w:tblCellMar>
            <w:top w:w="0" w:type="dxa"/>
            <w:left w:w="15" w:type="dxa"/>
            <w:bottom w:w="0" w:type="dxa"/>
            <w:right w:w="15" w:type="dxa"/>
          </w:tblCellMar>
        </w:tblPrEx>
        <w:trPr>
          <w:trHeight w:val="830"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核桃</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嫁接核桃苗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青川1号、硕星、旺2号、辽1</w:t>
            </w: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≥DB51/T705-2007Ⅱ级，</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万</w:t>
            </w: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44</w:t>
            </w:r>
          </w:p>
        </w:tc>
      </w:tr>
      <w:tr>
        <w:tblPrEx>
          <w:tblLayout w:type="fixed"/>
          <w:tblCellMar>
            <w:top w:w="0" w:type="dxa"/>
            <w:left w:w="15" w:type="dxa"/>
            <w:bottom w:w="0" w:type="dxa"/>
            <w:right w:w="15" w:type="dxa"/>
          </w:tblCellMar>
        </w:tblPrEx>
        <w:trPr>
          <w:trHeight w:val="635" w:hRule="atLeast"/>
        </w:trPr>
        <w:tc>
          <w:tcPr>
            <w:tcW w:w="7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山桐子</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移植苗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毛叶山桐子</w:t>
            </w: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地径≥5厘米、高≥2米。</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2070</w:t>
            </w:r>
          </w:p>
        </w:tc>
      </w:tr>
      <w:tr>
        <w:tblPrEx>
          <w:tblLayout w:type="fixed"/>
          <w:tblCellMar>
            <w:top w:w="0" w:type="dxa"/>
            <w:left w:w="15" w:type="dxa"/>
            <w:bottom w:w="0" w:type="dxa"/>
            <w:right w:w="15" w:type="dxa"/>
          </w:tblCellMar>
        </w:tblPrEx>
        <w:trPr>
          <w:trHeight w:val="755"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山桐子</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移植苗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毛叶山桐子</w:t>
            </w: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胸径≥15厘米、高≥4米。</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10</w:t>
            </w:r>
          </w:p>
        </w:tc>
      </w:tr>
      <w:tr>
        <w:tblPrEx>
          <w:tblLayout w:type="fixed"/>
          <w:tblCellMar>
            <w:top w:w="0" w:type="dxa"/>
            <w:left w:w="15" w:type="dxa"/>
            <w:bottom w:w="0" w:type="dxa"/>
            <w:right w:w="15" w:type="dxa"/>
          </w:tblCellMar>
        </w:tblPrEx>
        <w:trPr>
          <w:trHeight w:val="680"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垂柳</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移植苗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金丝柳</w:t>
            </w: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胸径≥8厘米、高≥2米。</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156</w:t>
            </w:r>
          </w:p>
        </w:tc>
      </w:tr>
      <w:tr>
        <w:tblPrEx>
          <w:tblLayout w:type="fixed"/>
          <w:tblCellMar>
            <w:top w:w="0" w:type="dxa"/>
            <w:left w:w="15" w:type="dxa"/>
            <w:bottom w:w="0" w:type="dxa"/>
            <w:right w:w="15" w:type="dxa"/>
          </w:tblCellMar>
        </w:tblPrEx>
        <w:trPr>
          <w:trHeight w:val="710"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18"/>
                <w:szCs w:val="24"/>
              </w:rPr>
            </w:pPr>
            <w:r>
              <w:rPr>
                <w:rFonts w:ascii="宋体" w:hAnsi="宋体"/>
                <w:color w:val="000000"/>
                <w:sz w:val="24"/>
                <w:szCs w:val="24"/>
              </w:rPr>
              <w:t>紫薇</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移植苗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红花</w:t>
            </w: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地径≥5厘米、高≥2米。</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156</w:t>
            </w:r>
          </w:p>
        </w:tc>
      </w:tr>
      <w:tr>
        <w:tblPrEx>
          <w:tblLayout w:type="fixed"/>
          <w:tblCellMar>
            <w:top w:w="0" w:type="dxa"/>
            <w:left w:w="15" w:type="dxa"/>
            <w:bottom w:w="0" w:type="dxa"/>
            <w:right w:w="15" w:type="dxa"/>
          </w:tblCellMar>
        </w:tblPrEx>
        <w:trPr>
          <w:trHeight w:val="650"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18"/>
                <w:szCs w:val="24"/>
              </w:rPr>
            </w:pPr>
            <w:r>
              <w:rPr>
                <w:rFonts w:ascii="宋体" w:hAnsi="宋体"/>
                <w:color w:val="000000"/>
                <w:sz w:val="24"/>
                <w:szCs w:val="24"/>
              </w:rPr>
              <w:t>银杏</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移植苗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胸径≥</w:t>
            </w:r>
            <w:r>
              <w:rPr>
                <w:rFonts w:hint="eastAsia" w:ascii="宋体" w:hAnsi="宋体"/>
                <w:color w:val="000000"/>
                <w:sz w:val="24"/>
                <w:szCs w:val="24"/>
              </w:rPr>
              <w:t>15</w:t>
            </w:r>
            <w:r>
              <w:rPr>
                <w:rFonts w:ascii="宋体" w:hAnsi="宋体"/>
                <w:color w:val="000000"/>
                <w:sz w:val="24"/>
                <w:szCs w:val="24"/>
              </w:rPr>
              <w:t>厘米、高≥</w:t>
            </w:r>
            <w:r>
              <w:rPr>
                <w:rFonts w:hint="eastAsia" w:ascii="宋体" w:hAnsi="宋体"/>
                <w:color w:val="000000"/>
                <w:sz w:val="24"/>
                <w:szCs w:val="24"/>
              </w:rPr>
              <w:t>3.5</w:t>
            </w:r>
            <w:r>
              <w:rPr>
                <w:rFonts w:ascii="宋体" w:hAnsi="宋体"/>
                <w:color w:val="000000"/>
                <w:sz w:val="24"/>
                <w:szCs w:val="24"/>
              </w:rPr>
              <w:t>米。</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170</w:t>
            </w:r>
          </w:p>
        </w:tc>
      </w:tr>
      <w:tr>
        <w:tblPrEx>
          <w:tblLayout w:type="fixed"/>
          <w:tblCellMar>
            <w:top w:w="0" w:type="dxa"/>
            <w:left w:w="15" w:type="dxa"/>
            <w:bottom w:w="0" w:type="dxa"/>
            <w:right w:w="15" w:type="dxa"/>
          </w:tblCellMar>
        </w:tblPrEx>
        <w:trPr>
          <w:trHeight w:val="675" w:hRule="atLeast"/>
        </w:trPr>
        <w:tc>
          <w:tcPr>
            <w:tcW w:w="7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3</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18"/>
                <w:szCs w:val="24"/>
              </w:rPr>
            </w:pPr>
            <w:r>
              <w:rPr>
                <w:rFonts w:ascii="宋体" w:hAnsi="宋体"/>
                <w:color w:val="000000"/>
                <w:sz w:val="24"/>
                <w:szCs w:val="24"/>
              </w:rPr>
              <w:t>杉木</w:t>
            </w:r>
          </w:p>
        </w:tc>
        <w:tc>
          <w:tcPr>
            <w:tcW w:w="93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播种苗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≥DB51/T705-2007Ⅱ级</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万</w:t>
            </w: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29.6352</w:t>
            </w:r>
          </w:p>
        </w:tc>
      </w:tr>
      <w:tr>
        <w:tblPrEx>
          <w:tblLayout w:type="fixed"/>
          <w:tblCellMar>
            <w:top w:w="0" w:type="dxa"/>
            <w:left w:w="15" w:type="dxa"/>
            <w:bottom w:w="0" w:type="dxa"/>
            <w:right w:w="15" w:type="dxa"/>
          </w:tblCellMar>
        </w:tblPrEx>
        <w:trPr>
          <w:trHeight w:val="675"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18"/>
                <w:szCs w:val="24"/>
              </w:rPr>
            </w:pPr>
            <w:r>
              <w:rPr>
                <w:rFonts w:ascii="宋体" w:hAnsi="宋体"/>
                <w:color w:val="000000"/>
                <w:sz w:val="24"/>
                <w:szCs w:val="24"/>
              </w:rPr>
              <w:t>桤木</w:t>
            </w:r>
          </w:p>
        </w:tc>
        <w:tc>
          <w:tcPr>
            <w:tcW w:w="93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播种苗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bookmarkStart w:id="0" w:name="_GoBack"/>
            <w:bookmarkEnd w:id="0"/>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≥DB51/T705-2007Ⅱ级</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万</w:t>
            </w: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19.7008</w:t>
            </w:r>
          </w:p>
        </w:tc>
      </w:tr>
      <w:tr>
        <w:tblPrEx>
          <w:tblLayout w:type="fixed"/>
          <w:tblCellMar>
            <w:top w:w="0" w:type="dxa"/>
            <w:left w:w="15" w:type="dxa"/>
            <w:bottom w:w="0" w:type="dxa"/>
            <w:right w:w="15" w:type="dxa"/>
          </w:tblCellMar>
        </w:tblPrEx>
        <w:trPr>
          <w:trHeight w:val="675"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桦木</w:t>
            </w:r>
          </w:p>
        </w:tc>
        <w:tc>
          <w:tcPr>
            <w:tcW w:w="93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播种苗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≥DB51/T705-2007Ⅱ级</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万</w:t>
            </w: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28</w:t>
            </w:r>
          </w:p>
        </w:tc>
      </w:tr>
      <w:tr>
        <w:tblPrEx>
          <w:tblLayout w:type="fixed"/>
          <w:tblCellMar>
            <w:top w:w="0" w:type="dxa"/>
            <w:left w:w="15" w:type="dxa"/>
            <w:bottom w:w="0" w:type="dxa"/>
            <w:right w:w="15" w:type="dxa"/>
          </w:tblCellMar>
        </w:tblPrEx>
        <w:trPr>
          <w:trHeight w:val="675" w:hRule="atLeast"/>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szCs w:val="24"/>
              </w:rPr>
            </w:pP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18"/>
                <w:szCs w:val="24"/>
              </w:rPr>
            </w:pPr>
            <w:r>
              <w:rPr>
                <w:rFonts w:ascii="宋体" w:hAnsi="宋体"/>
                <w:color w:val="000000"/>
                <w:sz w:val="24"/>
                <w:szCs w:val="24"/>
              </w:rPr>
              <w:t>马尾</w:t>
            </w:r>
            <w:r>
              <w:rPr>
                <w:rFonts w:ascii="宋体" w:hAnsi="宋体"/>
                <w:color w:val="000000"/>
                <w:sz w:val="18"/>
                <w:szCs w:val="24"/>
              </w:rPr>
              <w:t>松</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容器苗</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p>
        </w:tc>
        <w:tc>
          <w:tcPr>
            <w:tcW w:w="31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≥DB51/T705-2007Ⅱ级</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万</w:t>
            </w:r>
            <w:r>
              <w:rPr>
                <w:rFonts w:ascii="宋体" w:hAnsi="宋体"/>
                <w:color w:val="000000"/>
                <w:sz w:val="24"/>
                <w:szCs w:val="24"/>
              </w:rPr>
              <w:t>株</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4.704</w:t>
            </w:r>
          </w:p>
        </w:tc>
      </w:tr>
    </w:tbl>
    <w:p>
      <w:pPr>
        <w:rPr>
          <w:rFonts w:hint="eastAsia"/>
          <w:sz w:val="24"/>
          <w:szCs w:val="32"/>
        </w:rPr>
      </w:pPr>
    </w:p>
    <w:p>
      <w:pPr>
        <w:spacing w:line="360" w:lineRule="auto"/>
        <w:rPr>
          <w:rFonts w:hint="eastAsia"/>
          <w:sz w:val="24"/>
          <w:szCs w:val="32"/>
        </w:rPr>
      </w:pPr>
      <w:r>
        <w:rPr>
          <w:rFonts w:hint="eastAsia"/>
          <w:sz w:val="24"/>
          <w:szCs w:val="32"/>
        </w:rPr>
        <w:t xml:space="preserve">三、合同总金额即人民币： </w:t>
      </w:r>
      <w:r>
        <w:rPr>
          <w:rFonts w:hint="eastAsia"/>
          <w:sz w:val="24"/>
          <w:szCs w:val="32"/>
          <w:lang w:val="en-US" w:eastAsia="zh-CN"/>
        </w:rPr>
        <w:t>755万元，大写：柒佰伍拾伍万元整</w:t>
      </w:r>
    </w:p>
    <w:p>
      <w:pPr>
        <w:spacing w:line="360" w:lineRule="auto"/>
        <w:rPr>
          <w:rFonts w:hint="eastAsia"/>
          <w:sz w:val="24"/>
          <w:szCs w:val="32"/>
        </w:rPr>
      </w:pPr>
      <w:r>
        <w:rPr>
          <w:rFonts w:hint="eastAsia"/>
          <w:sz w:val="24"/>
          <w:szCs w:val="32"/>
        </w:rPr>
        <w:t>四、供货质量要求：</w:t>
      </w:r>
    </w:p>
    <w:p>
      <w:pPr>
        <w:spacing w:line="360" w:lineRule="auto"/>
        <w:rPr>
          <w:rFonts w:hint="eastAsia"/>
          <w:sz w:val="24"/>
          <w:szCs w:val="32"/>
        </w:rPr>
      </w:pPr>
      <w:r>
        <w:rPr>
          <w:rFonts w:hint="eastAsia"/>
          <w:sz w:val="24"/>
          <w:szCs w:val="32"/>
        </w:rPr>
        <w:t>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spacing w:line="360" w:lineRule="auto"/>
        <w:rPr>
          <w:rFonts w:hint="eastAsia"/>
          <w:sz w:val="24"/>
          <w:szCs w:val="32"/>
        </w:rPr>
      </w:pPr>
      <w:r>
        <w:rPr>
          <w:rFonts w:hint="eastAsia"/>
          <w:sz w:val="24"/>
          <w:szCs w:val="32"/>
        </w:rPr>
        <w:t>1、 苗木质量要求：</w:t>
      </w:r>
    </w:p>
    <w:p>
      <w:pPr>
        <w:spacing w:line="360" w:lineRule="auto"/>
        <w:rPr>
          <w:rFonts w:hint="eastAsia"/>
          <w:sz w:val="24"/>
          <w:szCs w:val="32"/>
        </w:rPr>
      </w:pPr>
      <w:r>
        <w:rPr>
          <w:rFonts w:hint="eastAsia"/>
          <w:sz w:val="24"/>
          <w:szCs w:val="32"/>
        </w:rPr>
        <w:t>（1）、植株生长旺盛，无现疫病虫害及机械损伤；无明显疤痕的遗留；</w:t>
      </w:r>
    </w:p>
    <w:p>
      <w:pPr>
        <w:spacing w:line="360" w:lineRule="auto"/>
        <w:rPr>
          <w:rFonts w:hint="eastAsia"/>
          <w:sz w:val="24"/>
          <w:szCs w:val="32"/>
        </w:rPr>
      </w:pPr>
      <w:r>
        <w:rPr>
          <w:rFonts w:hint="eastAsia"/>
          <w:sz w:val="24"/>
          <w:szCs w:val="32"/>
        </w:rPr>
        <w:t>（2）、植物分枝点合理，符合”黄金分割”通则（即第一分枝点的离地高度约为等于植株自然高的1/3），特殊品种及甲方特殊要求除外；</w:t>
      </w:r>
    </w:p>
    <w:p>
      <w:pPr>
        <w:spacing w:line="360" w:lineRule="auto"/>
        <w:rPr>
          <w:rFonts w:hint="eastAsia"/>
          <w:sz w:val="24"/>
          <w:szCs w:val="32"/>
        </w:rPr>
      </w:pPr>
      <w:r>
        <w:rPr>
          <w:rFonts w:hint="eastAsia"/>
          <w:sz w:val="24"/>
          <w:szCs w:val="32"/>
        </w:rPr>
        <w:t>（3）、植株冠幅饱满紧凑，无缺失，偏冠，歪斜等现象；</w:t>
      </w:r>
    </w:p>
    <w:p>
      <w:pPr>
        <w:spacing w:line="360" w:lineRule="auto"/>
        <w:rPr>
          <w:rFonts w:hint="eastAsia"/>
          <w:sz w:val="24"/>
          <w:szCs w:val="32"/>
        </w:rPr>
      </w:pPr>
      <w:r>
        <w:rPr>
          <w:rFonts w:hint="eastAsia"/>
          <w:sz w:val="24"/>
          <w:szCs w:val="32"/>
        </w:rPr>
        <w:t>（4）、苗木无折断、枯枝现象，没有5cm以上的锯枝。</w:t>
      </w:r>
    </w:p>
    <w:p>
      <w:pPr>
        <w:spacing w:line="360" w:lineRule="auto"/>
        <w:rPr>
          <w:rFonts w:hint="eastAsia"/>
          <w:sz w:val="24"/>
          <w:szCs w:val="32"/>
        </w:rPr>
      </w:pPr>
      <w:r>
        <w:rPr>
          <w:rFonts w:hint="eastAsia"/>
          <w:sz w:val="24"/>
          <w:szCs w:val="32"/>
        </w:rPr>
        <w:t>2、土球质量要求：</w:t>
      </w:r>
    </w:p>
    <w:p>
      <w:pPr>
        <w:spacing w:line="360" w:lineRule="auto"/>
        <w:rPr>
          <w:rFonts w:hint="eastAsia"/>
          <w:sz w:val="24"/>
          <w:szCs w:val="32"/>
        </w:rPr>
      </w:pPr>
      <w:r>
        <w:rPr>
          <w:rFonts w:hint="eastAsia"/>
          <w:sz w:val="24"/>
          <w:szCs w:val="32"/>
        </w:rPr>
        <w:t>（1）、要求带土的品种，其土球规格原则上符合“球径约等于胸径的7~9倍”要求（土球球径以250cm为上限），具体品种的土球规格详见外购苗木清单内注明;</w:t>
      </w:r>
    </w:p>
    <w:p>
      <w:pPr>
        <w:spacing w:line="360" w:lineRule="auto"/>
        <w:rPr>
          <w:rFonts w:hint="eastAsia"/>
          <w:sz w:val="24"/>
          <w:szCs w:val="32"/>
        </w:rPr>
      </w:pPr>
      <w:r>
        <w:rPr>
          <w:rFonts w:hint="eastAsia"/>
          <w:sz w:val="24"/>
          <w:szCs w:val="32"/>
        </w:rPr>
        <w:t>（2）上球必须去掉浮土层，少伤主根，保证足够的土球厚度，厚度为土球直径的1/2，土球包扎紧实牢固，包装方法及材料必须科学、实用；</w:t>
      </w:r>
    </w:p>
    <w:p>
      <w:pPr>
        <w:spacing w:line="360" w:lineRule="auto"/>
        <w:rPr>
          <w:rFonts w:hint="eastAsia"/>
          <w:sz w:val="24"/>
          <w:szCs w:val="32"/>
        </w:rPr>
      </w:pPr>
      <w:r>
        <w:rPr>
          <w:rFonts w:hint="eastAsia"/>
          <w:sz w:val="24"/>
          <w:szCs w:val="32"/>
        </w:rPr>
        <w:t>（3）、沟边苗木或有其它阻碍物，土球带不完整或主根需斩断的苗木应避免挖取；</w:t>
      </w:r>
    </w:p>
    <w:p>
      <w:pPr>
        <w:spacing w:line="360" w:lineRule="auto"/>
        <w:rPr>
          <w:rFonts w:hint="eastAsia"/>
          <w:sz w:val="24"/>
          <w:szCs w:val="32"/>
        </w:rPr>
      </w:pPr>
      <w:r>
        <w:rPr>
          <w:rFonts w:hint="eastAsia"/>
          <w:sz w:val="24"/>
          <w:szCs w:val="32"/>
        </w:rPr>
        <w:t>（4）、挖掘形式必须与包装形式规格相一致，包扎必须扎紧，包扎必须扎紧，土球不能松散，土球底部以45°角收底挖球形，遇大根必须据断，严禁根裂。</w:t>
      </w:r>
    </w:p>
    <w:p>
      <w:pPr>
        <w:spacing w:line="360" w:lineRule="auto"/>
        <w:rPr>
          <w:rFonts w:hint="eastAsia"/>
          <w:sz w:val="24"/>
          <w:szCs w:val="32"/>
        </w:rPr>
      </w:pPr>
      <w:r>
        <w:rPr>
          <w:rFonts w:hint="eastAsia"/>
          <w:sz w:val="24"/>
          <w:szCs w:val="32"/>
        </w:rPr>
        <w:t>3、吊装要求：</w:t>
      </w:r>
    </w:p>
    <w:p>
      <w:pPr>
        <w:spacing w:line="360" w:lineRule="auto"/>
        <w:rPr>
          <w:rFonts w:hint="eastAsia"/>
          <w:sz w:val="24"/>
          <w:szCs w:val="32"/>
        </w:rPr>
      </w:pPr>
      <w:r>
        <w:rPr>
          <w:rFonts w:hint="eastAsia"/>
          <w:sz w:val="24"/>
          <w:szCs w:val="32"/>
        </w:rPr>
        <w:t>（1）、树木挖掘修剪后，必须当天装车；</w:t>
      </w:r>
    </w:p>
    <w:p>
      <w:pPr>
        <w:spacing w:line="360" w:lineRule="auto"/>
        <w:rPr>
          <w:rFonts w:hint="eastAsia"/>
          <w:sz w:val="24"/>
          <w:szCs w:val="32"/>
        </w:rPr>
      </w:pPr>
      <w:r>
        <w:rPr>
          <w:rFonts w:hint="eastAsia"/>
          <w:sz w:val="24"/>
          <w:szCs w:val="32"/>
        </w:rPr>
        <w:t>（2）、吊装时应采取必要的措施以不使土球及树干受损伤，严禁土球与树干之间松动。</w:t>
      </w:r>
    </w:p>
    <w:p>
      <w:pPr>
        <w:spacing w:line="360" w:lineRule="auto"/>
        <w:rPr>
          <w:rFonts w:hint="eastAsia"/>
          <w:sz w:val="24"/>
          <w:szCs w:val="32"/>
        </w:rPr>
      </w:pPr>
      <w:r>
        <w:rPr>
          <w:rFonts w:hint="eastAsia"/>
          <w:sz w:val="24"/>
          <w:szCs w:val="32"/>
        </w:rPr>
        <w:t>4、技术要素：</w:t>
      </w:r>
    </w:p>
    <w:p>
      <w:pPr>
        <w:spacing w:line="360" w:lineRule="auto"/>
        <w:rPr>
          <w:rFonts w:hint="eastAsia"/>
          <w:sz w:val="24"/>
          <w:szCs w:val="32"/>
        </w:rPr>
      </w:pPr>
      <w:r>
        <w:rPr>
          <w:rFonts w:hint="eastAsia"/>
          <w:sz w:val="24"/>
          <w:szCs w:val="32"/>
        </w:rPr>
        <w:t>（1）、修剪合理，树体收拢及机械吊装时必须采用实用材料（如竹片等）对绑扎部位作充分保护，树体二级分枝以下必须缠绑草绳；</w:t>
      </w:r>
    </w:p>
    <w:p>
      <w:pPr>
        <w:spacing w:line="360" w:lineRule="auto"/>
        <w:rPr>
          <w:rFonts w:hint="eastAsia"/>
          <w:sz w:val="24"/>
          <w:szCs w:val="32"/>
        </w:rPr>
      </w:pPr>
      <w:r>
        <w:rPr>
          <w:rFonts w:hint="eastAsia"/>
          <w:sz w:val="24"/>
          <w:szCs w:val="32"/>
        </w:rPr>
        <w:t>（2）、苗木起挖后，在停放及运输过程中必须进行保鲜、保湿、防风、防晒、抗蒸腾、抗寒等抗逆技术处理。</w:t>
      </w:r>
    </w:p>
    <w:p>
      <w:pPr>
        <w:spacing w:line="360" w:lineRule="auto"/>
        <w:rPr>
          <w:rFonts w:hint="eastAsia"/>
          <w:sz w:val="24"/>
          <w:szCs w:val="32"/>
        </w:rPr>
      </w:pPr>
      <w:r>
        <w:rPr>
          <w:rFonts w:hint="eastAsia"/>
          <w:sz w:val="24"/>
          <w:szCs w:val="32"/>
        </w:rPr>
        <w:t>5、时间限制：所以品种的苗木栽起挖后的 小时内必须送达约定目的地。</w:t>
      </w:r>
    </w:p>
    <w:p>
      <w:pPr>
        <w:spacing w:line="360" w:lineRule="auto"/>
        <w:rPr>
          <w:rFonts w:hint="eastAsia"/>
          <w:sz w:val="24"/>
          <w:szCs w:val="32"/>
        </w:rPr>
      </w:pPr>
      <w:r>
        <w:rPr>
          <w:rFonts w:hint="eastAsia"/>
          <w:sz w:val="24"/>
          <w:szCs w:val="32"/>
        </w:rPr>
        <w:t>五、双方义务</w:t>
      </w:r>
    </w:p>
    <w:p>
      <w:pPr>
        <w:spacing w:line="360" w:lineRule="auto"/>
        <w:rPr>
          <w:rFonts w:hint="eastAsia"/>
          <w:sz w:val="24"/>
          <w:szCs w:val="32"/>
        </w:rPr>
      </w:pPr>
      <w:r>
        <w:rPr>
          <w:rFonts w:hint="eastAsia"/>
          <w:sz w:val="24"/>
          <w:szCs w:val="32"/>
        </w:rPr>
        <w:t>1、乙方义务；</w:t>
      </w:r>
    </w:p>
    <w:p>
      <w:pPr>
        <w:spacing w:line="360" w:lineRule="auto"/>
        <w:rPr>
          <w:rFonts w:hint="eastAsia"/>
          <w:sz w:val="24"/>
          <w:szCs w:val="32"/>
        </w:rPr>
      </w:pPr>
      <w:r>
        <w:rPr>
          <w:rFonts w:hint="eastAsia"/>
          <w:sz w:val="24"/>
          <w:szCs w:val="32"/>
        </w:rPr>
        <w:t>（1） 如期、如质、如量按合同第二条第二款附表中的数量选苗、起挖、包扎、吊装及运输至甲方地点。</w:t>
      </w:r>
    </w:p>
    <w:p>
      <w:pPr>
        <w:spacing w:line="360" w:lineRule="auto"/>
        <w:rPr>
          <w:rFonts w:hint="eastAsia"/>
          <w:sz w:val="24"/>
          <w:szCs w:val="32"/>
        </w:rPr>
      </w:pPr>
      <w:r>
        <w:rPr>
          <w:rFonts w:hint="eastAsia"/>
          <w:sz w:val="24"/>
          <w:szCs w:val="32"/>
        </w:rPr>
        <w:t>（2） 乙方负责办好检疫证及有关手续，并负责调度车辆。乙方负责验收前的所有费用（报价已含）</w:t>
      </w:r>
    </w:p>
    <w:p>
      <w:pPr>
        <w:spacing w:line="360" w:lineRule="auto"/>
        <w:rPr>
          <w:rFonts w:hint="eastAsia"/>
          <w:sz w:val="24"/>
          <w:szCs w:val="32"/>
        </w:rPr>
      </w:pPr>
      <w:r>
        <w:rPr>
          <w:rFonts w:hint="eastAsia"/>
          <w:sz w:val="24"/>
          <w:szCs w:val="32"/>
        </w:rPr>
        <w:t>（3） 乙方负责苗木验收前的所有操作组织及向甲方提供苗木验收后的技术协助（卸车及种植）。</w:t>
      </w:r>
    </w:p>
    <w:p>
      <w:pPr>
        <w:spacing w:line="360" w:lineRule="auto"/>
        <w:rPr>
          <w:rFonts w:hint="eastAsia"/>
          <w:sz w:val="24"/>
          <w:szCs w:val="32"/>
        </w:rPr>
      </w:pPr>
      <w:r>
        <w:rPr>
          <w:rFonts w:hint="eastAsia"/>
          <w:sz w:val="24"/>
          <w:szCs w:val="32"/>
        </w:rPr>
        <w:t>（4） 乙方必须在 天内完成全部操作，即从合同签订生效日至所有苗木供应完毕为期 天。</w:t>
      </w:r>
    </w:p>
    <w:p>
      <w:pPr>
        <w:spacing w:line="360" w:lineRule="auto"/>
        <w:rPr>
          <w:rFonts w:hint="eastAsia"/>
          <w:sz w:val="24"/>
          <w:szCs w:val="32"/>
        </w:rPr>
      </w:pPr>
      <w:r>
        <w:rPr>
          <w:rFonts w:hint="eastAsia"/>
          <w:sz w:val="24"/>
          <w:szCs w:val="32"/>
        </w:rPr>
        <w:t>（5） 乙方委派 为本合同的执行代表。</w:t>
      </w:r>
    </w:p>
    <w:p>
      <w:pPr>
        <w:spacing w:line="360" w:lineRule="auto"/>
        <w:rPr>
          <w:rFonts w:hint="eastAsia"/>
          <w:sz w:val="24"/>
          <w:szCs w:val="32"/>
        </w:rPr>
      </w:pPr>
    </w:p>
    <w:p>
      <w:pPr>
        <w:spacing w:line="360" w:lineRule="auto"/>
        <w:rPr>
          <w:rFonts w:hint="eastAsia"/>
          <w:sz w:val="24"/>
          <w:szCs w:val="32"/>
        </w:rPr>
      </w:pPr>
      <w:r>
        <w:rPr>
          <w:rFonts w:hint="eastAsia"/>
          <w:sz w:val="24"/>
          <w:szCs w:val="32"/>
        </w:rPr>
        <w:t>（6） 附件：</w:t>
      </w:r>
    </w:p>
    <w:p>
      <w:pPr>
        <w:spacing w:line="360" w:lineRule="auto"/>
        <w:rPr>
          <w:rFonts w:hint="eastAsia"/>
          <w:sz w:val="24"/>
          <w:szCs w:val="32"/>
        </w:rPr>
      </w:pPr>
      <w:r>
        <w:rPr>
          <w:rFonts w:hint="eastAsia"/>
          <w:sz w:val="24"/>
          <w:szCs w:val="32"/>
        </w:rPr>
        <w:t>①乙方送货时必须提供送货单（一式三联），并提供正规的苗木发票。</w:t>
      </w:r>
    </w:p>
    <w:p>
      <w:pPr>
        <w:spacing w:line="360" w:lineRule="auto"/>
        <w:rPr>
          <w:rFonts w:hint="eastAsia"/>
          <w:sz w:val="24"/>
          <w:szCs w:val="32"/>
        </w:rPr>
      </w:pPr>
      <w:r>
        <w:rPr>
          <w:rFonts w:hint="eastAsia"/>
          <w:sz w:val="24"/>
          <w:szCs w:val="32"/>
        </w:rPr>
        <w:t>②苗木长途运费由甲方支付，运货方需提供正规的运输发票。</w:t>
      </w:r>
    </w:p>
    <w:p>
      <w:pPr>
        <w:spacing w:line="360" w:lineRule="auto"/>
        <w:rPr>
          <w:rFonts w:hint="eastAsia"/>
          <w:sz w:val="24"/>
          <w:szCs w:val="32"/>
        </w:rPr>
      </w:pPr>
      <w:r>
        <w:rPr>
          <w:rFonts w:hint="eastAsia"/>
          <w:sz w:val="24"/>
          <w:szCs w:val="32"/>
        </w:rPr>
        <w:t>③每份合同均应附供应商的税务登记证和营业执照复印件，复印件需加盖供应商公章。</w:t>
      </w:r>
    </w:p>
    <w:p>
      <w:pPr>
        <w:spacing w:line="360" w:lineRule="auto"/>
        <w:rPr>
          <w:rFonts w:hint="eastAsia"/>
          <w:sz w:val="24"/>
          <w:szCs w:val="32"/>
        </w:rPr>
      </w:pPr>
      <w:r>
        <w:rPr>
          <w:rFonts w:hint="eastAsia"/>
          <w:sz w:val="24"/>
          <w:szCs w:val="32"/>
        </w:rPr>
        <w:t>2.、甲方义务：</w:t>
      </w:r>
    </w:p>
    <w:p>
      <w:pPr>
        <w:spacing w:line="360" w:lineRule="auto"/>
        <w:rPr>
          <w:rFonts w:hint="eastAsia"/>
          <w:sz w:val="24"/>
          <w:szCs w:val="32"/>
        </w:rPr>
      </w:pPr>
      <w:r>
        <w:rPr>
          <w:rFonts w:hint="eastAsia"/>
          <w:sz w:val="24"/>
          <w:szCs w:val="32"/>
        </w:rPr>
        <w:t>（1）甲方委派 为本合同的执行代表，负责调派人员去现场监督乙方操作的全过程。</w:t>
      </w:r>
    </w:p>
    <w:p>
      <w:pPr>
        <w:spacing w:line="360" w:lineRule="auto"/>
        <w:rPr>
          <w:rFonts w:hint="eastAsia"/>
          <w:sz w:val="24"/>
          <w:szCs w:val="32"/>
        </w:rPr>
      </w:pPr>
      <w:r>
        <w:rPr>
          <w:rFonts w:hint="eastAsia"/>
          <w:sz w:val="24"/>
          <w:szCs w:val="32"/>
        </w:rPr>
        <w:t>（2）甲方按合同如期、如量支付货款。</w:t>
      </w:r>
    </w:p>
    <w:p>
      <w:pPr>
        <w:spacing w:line="360" w:lineRule="auto"/>
        <w:rPr>
          <w:rFonts w:hint="eastAsia"/>
          <w:sz w:val="24"/>
          <w:szCs w:val="32"/>
        </w:rPr>
      </w:pPr>
      <w:r>
        <w:rPr>
          <w:rFonts w:hint="eastAsia"/>
          <w:sz w:val="24"/>
          <w:szCs w:val="32"/>
        </w:rPr>
        <w:t>六、付款方式：</w:t>
      </w:r>
    </w:p>
    <w:p>
      <w:pPr>
        <w:spacing w:line="360" w:lineRule="auto"/>
        <w:rPr>
          <w:rFonts w:hint="eastAsia"/>
          <w:sz w:val="24"/>
          <w:szCs w:val="32"/>
        </w:rPr>
      </w:pPr>
      <w:r>
        <w:rPr>
          <w:rFonts w:hint="eastAsia"/>
          <w:sz w:val="24"/>
          <w:szCs w:val="32"/>
        </w:rPr>
        <w:t>1、本合同苗木款的支付共分为二个阶段。</w:t>
      </w:r>
    </w:p>
    <w:p>
      <w:pPr>
        <w:spacing w:line="360" w:lineRule="auto"/>
        <w:rPr>
          <w:rFonts w:hint="eastAsia"/>
          <w:sz w:val="24"/>
          <w:szCs w:val="32"/>
        </w:rPr>
      </w:pPr>
      <w:r>
        <w:rPr>
          <w:rFonts w:hint="eastAsia"/>
          <w:sz w:val="24"/>
          <w:szCs w:val="32"/>
        </w:rPr>
        <w:t>2、苗木款支付：</w:t>
      </w:r>
    </w:p>
    <w:p>
      <w:pPr>
        <w:spacing w:line="360" w:lineRule="auto"/>
        <w:rPr>
          <w:rFonts w:hint="eastAsia"/>
          <w:sz w:val="24"/>
          <w:szCs w:val="32"/>
        </w:rPr>
      </w:pPr>
      <w:r>
        <w:rPr>
          <w:rFonts w:hint="eastAsia"/>
          <w:sz w:val="24"/>
          <w:szCs w:val="32"/>
        </w:rPr>
        <w:t>第1阶段</w:t>
      </w:r>
    </w:p>
    <w:p>
      <w:pPr>
        <w:spacing w:line="360" w:lineRule="auto"/>
        <w:rPr>
          <w:rFonts w:hint="eastAsia"/>
          <w:sz w:val="24"/>
          <w:szCs w:val="32"/>
        </w:rPr>
      </w:pPr>
      <w:r>
        <w:rPr>
          <w:rFonts w:hint="eastAsia"/>
          <w:sz w:val="24"/>
          <w:szCs w:val="32"/>
        </w:rPr>
        <w:t>合同签订生效</w:t>
      </w:r>
      <w:r>
        <w:rPr>
          <w:rFonts w:hint="eastAsia"/>
          <w:sz w:val="24"/>
          <w:szCs w:val="32"/>
          <w:lang w:eastAsia="zh-CN"/>
        </w:rPr>
        <w:t>付</w:t>
      </w:r>
      <w:r>
        <w:rPr>
          <w:rFonts w:hint="eastAsia"/>
          <w:sz w:val="24"/>
          <w:szCs w:val="32"/>
          <w:lang w:val="en-US" w:eastAsia="zh-CN"/>
        </w:rPr>
        <w:t>20</w:t>
      </w:r>
      <w:r>
        <w:rPr>
          <w:rFonts w:hint="default" w:ascii="Arial" w:hAnsi="Arial" w:cs="Arial"/>
          <w:sz w:val="24"/>
          <w:szCs w:val="32"/>
          <w:lang w:val="en-US" w:eastAsia="zh-CN"/>
        </w:rPr>
        <w:t>％</w:t>
      </w:r>
      <w:r>
        <w:rPr>
          <w:rFonts w:hint="eastAsia" w:ascii="Arial" w:hAnsi="Arial" w:cs="Arial"/>
          <w:sz w:val="24"/>
          <w:szCs w:val="32"/>
          <w:lang w:val="en-US" w:eastAsia="zh-CN"/>
        </w:rPr>
        <w:t>定金。</w:t>
      </w:r>
    </w:p>
    <w:p>
      <w:pPr>
        <w:spacing w:line="360" w:lineRule="auto"/>
        <w:rPr>
          <w:rFonts w:hint="eastAsia"/>
          <w:sz w:val="24"/>
          <w:szCs w:val="32"/>
        </w:rPr>
      </w:pPr>
      <w:r>
        <w:rPr>
          <w:rFonts w:hint="eastAsia"/>
          <w:sz w:val="24"/>
          <w:szCs w:val="32"/>
        </w:rPr>
        <w:t>第2阶段</w:t>
      </w:r>
    </w:p>
    <w:p>
      <w:pPr>
        <w:spacing w:line="360" w:lineRule="auto"/>
        <w:rPr>
          <w:rFonts w:hint="eastAsia"/>
          <w:sz w:val="24"/>
          <w:szCs w:val="32"/>
        </w:rPr>
      </w:pPr>
      <w:r>
        <w:rPr>
          <w:rFonts w:hint="eastAsia"/>
          <w:sz w:val="24"/>
          <w:szCs w:val="32"/>
        </w:rPr>
        <w:t>货到验收后</w:t>
      </w:r>
      <w:r>
        <w:rPr>
          <w:rFonts w:hint="eastAsia"/>
          <w:sz w:val="24"/>
          <w:szCs w:val="32"/>
          <w:lang w:eastAsia="zh-CN"/>
        </w:rPr>
        <w:t>，付</w:t>
      </w:r>
      <w:r>
        <w:rPr>
          <w:rFonts w:hint="eastAsia"/>
          <w:sz w:val="24"/>
          <w:szCs w:val="32"/>
          <w:lang w:val="en-US" w:eastAsia="zh-CN"/>
        </w:rPr>
        <w:t>75</w:t>
      </w:r>
      <w:r>
        <w:rPr>
          <w:rFonts w:hint="default" w:ascii="Arial" w:hAnsi="Arial" w:cs="Arial"/>
          <w:sz w:val="24"/>
          <w:szCs w:val="32"/>
          <w:lang w:val="en-US" w:eastAsia="zh-CN"/>
        </w:rPr>
        <w:t>％</w:t>
      </w:r>
      <w:r>
        <w:rPr>
          <w:rFonts w:hint="eastAsia" w:ascii="Arial" w:hAnsi="Arial" w:cs="Arial"/>
          <w:sz w:val="24"/>
          <w:szCs w:val="32"/>
          <w:lang w:val="en-US" w:eastAsia="zh-CN"/>
        </w:rPr>
        <w:t>货款，其余5为质量保证金，一年后达到95存活率后，全部付清。</w:t>
      </w:r>
    </w:p>
    <w:p>
      <w:pPr>
        <w:spacing w:line="360" w:lineRule="auto"/>
        <w:rPr>
          <w:rFonts w:hint="eastAsia"/>
          <w:sz w:val="24"/>
          <w:szCs w:val="32"/>
        </w:rPr>
      </w:pPr>
    </w:p>
    <w:p>
      <w:pPr>
        <w:spacing w:line="360" w:lineRule="auto"/>
        <w:rPr>
          <w:rFonts w:hint="eastAsia"/>
          <w:sz w:val="24"/>
          <w:szCs w:val="32"/>
        </w:rPr>
      </w:pPr>
      <w:r>
        <w:rPr>
          <w:rFonts w:hint="eastAsia"/>
          <w:sz w:val="24"/>
          <w:szCs w:val="32"/>
        </w:rPr>
        <w:t>注：支付以上款项时，乙方提供乙方开出的、以甲方为抬头的正式发票，若乙方不能提供发票或提供发票不符合甲方要求的，甲方有权拒绝支付任何款项。</w:t>
      </w:r>
    </w:p>
    <w:p>
      <w:pPr>
        <w:spacing w:line="360" w:lineRule="auto"/>
        <w:rPr>
          <w:rFonts w:hint="eastAsia"/>
          <w:sz w:val="24"/>
          <w:szCs w:val="32"/>
        </w:rPr>
      </w:pPr>
      <w:r>
        <w:rPr>
          <w:rFonts w:hint="eastAsia"/>
          <w:sz w:val="24"/>
          <w:szCs w:val="32"/>
        </w:rPr>
        <w:t>七、违约责任</w:t>
      </w:r>
    </w:p>
    <w:p>
      <w:pPr>
        <w:spacing w:line="360" w:lineRule="auto"/>
        <w:rPr>
          <w:rFonts w:hint="eastAsia"/>
          <w:sz w:val="24"/>
          <w:szCs w:val="32"/>
        </w:rPr>
      </w:pPr>
      <w:r>
        <w:rPr>
          <w:rFonts w:hint="eastAsia"/>
          <w:sz w:val="24"/>
          <w:szCs w:val="32"/>
        </w:rPr>
        <w:t>1、 甲方违约，乙方可不退定金，并追究甲方违约责任。乙方违约，甲方可拒收苗木、拒付货款，并有权利要求乙方双被返还定金。</w:t>
      </w:r>
    </w:p>
    <w:p>
      <w:pPr>
        <w:spacing w:line="360" w:lineRule="auto"/>
        <w:rPr>
          <w:rFonts w:hint="eastAsia"/>
          <w:sz w:val="24"/>
          <w:szCs w:val="32"/>
        </w:rPr>
      </w:pPr>
      <w:r>
        <w:rPr>
          <w:rFonts w:hint="eastAsia"/>
          <w:sz w:val="24"/>
          <w:szCs w:val="32"/>
        </w:rPr>
        <w:t>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spacing w:line="360" w:lineRule="auto"/>
        <w:rPr>
          <w:rFonts w:hint="eastAsia"/>
          <w:sz w:val="24"/>
          <w:szCs w:val="32"/>
        </w:rPr>
      </w:pPr>
      <w:r>
        <w:rPr>
          <w:rFonts w:hint="eastAsia"/>
          <w:sz w:val="24"/>
          <w:szCs w:val="32"/>
        </w:rPr>
        <w:t>3、 乙方所起货苗木的包扎必须紧实，土球不能松散；枝叶修剪适当，保证货到目的地损坏率不能超过5%,否则以违约论处，甲方有权拒收。</w:t>
      </w:r>
    </w:p>
    <w:p>
      <w:pPr>
        <w:spacing w:line="360" w:lineRule="auto"/>
        <w:rPr>
          <w:rFonts w:hint="eastAsia"/>
          <w:sz w:val="24"/>
          <w:szCs w:val="32"/>
        </w:rPr>
      </w:pPr>
      <w:r>
        <w:rPr>
          <w:rFonts w:hint="eastAsia"/>
          <w:sz w:val="24"/>
          <w:szCs w:val="32"/>
        </w:rPr>
        <w:t>4、 甲方在乙方如质、如量、如期装车后，如不能按合同支付定金，乙方可拒绝发车。货到目的地验收结算后，如甲方不能如期付款，乙方将追究甲方违约责任。</w:t>
      </w:r>
    </w:p>
    <w:p>
      <w:pPr>
        <w:spacing w:line="360" w:lineRule="auto"/>
        <w:rPr>
          <w:rFonts w:hint="eastAsia"/>
          <w:sz w:val="24"/>
          <w:szCs w:val="32"/>
        </w:rPr>
      </w:pPr>
      <w:r>
        <w:rPr>
          <w:rFonts w:hint="eastAsia"/>
          <w:sz w:val="24"/>
          <w:szCs w:val="32"/>
        </w:rPr>
        <w:t>八、结算方式、日期</w:t>
      </w:r>
    </w:p>
    <w:p>
      <w:pPr>
        <w:spacing w:line="360" w:lineRule="auto"/>
        <w:rPr>
          <w:rFonts w:hint="eastAsia"/>
          <w:sz w:val="24"/>
          <w:szCs w:val="32"/>
        </w:rPr>
      </w:pPr>
      <w:r>
        <w:rPr>
          <w:rFonts w:hint="eastAsia"/>
          <w:sz w:val="24"/>
          <w:szCs w:val="32"/>
        </w:rPr>
        <w:t>1、按双方签定的合同单价（合同签订后，在履约的过程中不因市场变化而调价）和实际供货的数量（双方签字确定）进行结算。</w:t>
      </w:r>
    </w:p>
    <w:p>
      <w:pPr>
        <w:spacing w:line="360" w:lineRule="auto"/>
        <w:rPr>
          <w:rFonts w:hint="eastAsia"/>
          <w:sz w:val="24"/>
          <w:szCs w:val="32"/>
        </w:rPr>
      </w:pPr>
      <w:r>
        <w:rPr>
          <w:rFonts w:hint="eastAsia"/>
          <w:sz w:val="24"/>
          <w:szCs w:val="32"/>
        </w:rPr>
        <w:t>2、结算由</w:t>
      </w:r>
      <w:r>
        <w:rPr>
          <w:rFonts w:hint="eastAsia"/>
          <w:sz w:val="24"/>
          <w:szCs w:val="32"/>
          <w:lang w:eastAsia="zh-CN"/>
        </w:rPr>
        <w:t>南阳金中原农业发展有限公司</w:t>
      </w:r>
      <w:r>
        <w:rPr>
          <w:rFonts w:hint="eastAsia"/>
          <w:sz w:val="24"/>
          <w:szCs w:val="32"/>
        </w:rPr>
        <w:t>项目部执行，乙方需极力配合结算工作，结算结果并发至财务部审核确定。</w:t>
      </w:r>
    </w:p>
    <w:p>
      <w:pPr>
        <w:spacing w:line="360" w:lineRule="auto"/>
        <w:rPr>
          <w:rFonts w:hint="eastAsia"/>
          <w:sz w:val="24"/>
          <w:szCs w:val="32"/>
        </w:rPr>
      </w:pPr>
      <w:r>
        <w:rPr>
          <w:rFonts w:hint="eastAsia"/>
          <w:sz w:val="24"/>
          <w:szCs w:val="32"/>
        </w:rPr>
        <w:t>3、结算日期为供货完成、质量合格后 天内完成，超出日期则由财务部门进行核算，如核算结果出现数量减少情况：一律以财务部核算为准，损失由乙方承担。</w:t>
      </w:r>
    </w:p>
    <w:p>
      <w:pPr>
        <w:spacing w:line="360" w:lineRule="auto"/>
        <w:rPr>
          <w:rFonts w:hint="eastAsia"/>
          <w:sz w:val="24"/>
          <w:szCs w:val="32"/>
        </w:rPr>
      </w:pPr>
      <w:r>
        <w:rPr>
          <w:rFonts w:hint="eastAsia"/>
          <w:sz w:val="24"/>
          <w:szCs w:val="32"/>
        </w:rPr>
        <w:t>4、结算会签流程：甲乙双方确定苗木供应量（原稿双方必须签字）→项目部总审核→乙方签字确定。</w:t>
      </w:r>
    </w:p>
    <w:p>
      <w:pPr>
        <w:spacing w:line="360" w:lineRule="auto"/>
        <w:rPr>
          <w:rFonts w:hint="eastAsia"/>
          <w:sz w:val="24"/>
          <w:szCs w:val="32"/>
        </w:rPr>
      </w:pPr>
      <w:r>
        <w:rPr>
          <w:rFonts w:hint="eastAsia"/>
          <w:sz w:val="24"/>
          <w:szCs w:val="32"/>
        </w:rPr>
        <w:t>九、本合同壹</w:t>
      </w:r>
      <w:r>
        <w:rPr>
          <w:rFonts w:hint="eastAsia"/>
          <w:sz w:val="24"/>
          <w:szCs w:val="32"/>
          <w:lang w:eastAsia="zh-CN"/>
        </w:rPr>
        <w:t>式</w:t>
      </w:r>
      <w:r>
        <w:rPr>
          <w:rFonts w:hint="eastAsia"/>
          <w:sz w:val="24"/>
          <w:szCs w:val="32"/>
        </w:rPr>
        <w:t>贰份，甲乙双方各执壹份，自双方签字或盖章之后生效，至供货完毕、结清全部购货价款时自动失效。</w:t>
      </w:r>
    </w:p>
    <w:p>
      <w:pPr>
        <w:spacing w:line="360" w:lineRule="auto"/>
        <w:rPr>
          <w:rFonts w:hint="eastAsia"/>
          <w:sz w:val="24"/>
          <w:szCs w:val="32"/>
        </w:rPr>
      </w:pPr>
    </w:p>
    <w:p>
      <w:pPr>
        <w:spacing w:line="360" w:lineRule="auto"/>
        <w:rPr>
          <w:rFonts w:hint="eastAsia"/>
          <w:sz w:val="24"/>
          <w:szCs w:val="32"/>
        </w:rPr>
      </w:pPr>
      <w:r>
        <w:rPr>
          <w:rFonts w:hint="eastAsia"/>
          <w:sz w:val="24"/>
          <w:szCs w:val="32"/>
        </w:rPr>
        <w:t>甲方：</w:t>
      </w:r>
      <w:r>
        <w:rPr>
          <w:rFonts w:hint="eastAsia"/>
          <w:sz w:val="24"/>
          <w:szCs w:val="32"/>
          <w:lang w:eastAsia="zh-CN"/>
        </w:rPr>
        <w:t>南阳金中原农业发展有限公司</w:t>
      </w:r>
      <w:r>
        <w:rPr>
          <w:rFonts w:hint="eastAsia"/>
          <w:sz w:val="24"/>
          <w:szCs w:val="32"/>
          <w:lang w:val="en-US" w:eastAsia="zh-CN"/>
        </w:rPr>
        <w:t xml:space="preserve">       </w:t>
      </w:r>
      <w:r>
        <w:rPr>
          <w:rFonts w:hint="eastAsia"/>
          <w:sz w:val="24"/>
          <w:szCs w:val="32"/>
        </w:rPr>
        <w:t>乙方：</w:t>
      </w:r>
      <w:r>
        <w:rPr>
          <w:rFonts w:hint="eastAsia"/>
          <w:sz w:val="24"/>
          <w:szCs w:val="32"/>
          <w:lang w:eastAsia="zh-CN"/>
        </w:rPr>
        <w:t>南阳涌金实业有限公司</w:t>
      </w:r>
    </w:p>
    <w:p>
      <w:pPr>
        <w:spacing w:line="360" w:lineRule="auto"/>
        <w:rPr>
          <w:rFonts w:hint="eastAsia"/>
          <w:sz w:val="24"/>
          <w:szCs w:val="32"/>
        </w:rPr>
      </w:pPr>
      <w:r>
        <w:rPr>
          <w:rFonts w:hint="eastAsia"/>
          <w:sz w:val="24"/>
          <w:szCs w:val="32"/>
        </w:rPr>
        <w:t>签字代表（签名）</w:t>
      </w:r>
      <w:r>
        <w:rPr>
          <w:rFonts w:hint="eastAsia"/>
          <w:sz w:val="24"/>
          <w:szCs w:val="32"/>
          <w:lang w:val="en-US" w:eastAsia="zh-CN"/>
        </w:rPr>
        <w:t xml:space="preserve">              </w:t>
      </w:r>
      <w:r>
        <w:rPr>
          <w:rFonts w:hint="eastAsia"/>
          <w:sz w:val="24"/>
          <w:szCs w:val="32"/>
        </w:rPr>
        <w:t xml:space="preserve"> </w:t>
      </w:r>
      <w:r>
        <w:rPr>
          <w:rFonts w:hint="eastAsia"/>
          <w:sz w:val="24"/>
          <w:szCs w:val="32"/>
          <w:lang w:val="en-US" w:eastAsia="zh-CN"/>
        </w:rPr>
        <w:t xml:space="preserve">        </w:t>
      </w:r>
      <w:r>
        <w:rPr>
          <w:rFonts w:hint="eastAsia"/>
          <w:sz w:val="24"/>
          <w:szCs w:val="32"/>
        </w:rPr>
        <w:t>签字代表（签名）</w:t>
      </w:r>
    </w:p>
    <w:p>
      <w:pPr>
        <w:spacing w:line="360" w:lineRule="auto"/>
        <w:rPr>
          <w:rFonts w:hint="eastAsia"/>
          <w:sz w:val="24"/>
          <w:szCs w:val="32"/>
        </w:rPr>
      </w:pPr>
      <w:r>
        <w:rPr>
          <w:rFonts w:hint="eastAsia"/>
          <w:sz w:val="24"/>
          <w:szCs w:val="32"/>
        </w:rPr>
        <w:t xml:space="preserve">地址 </w:t>
      </w:r>
      <w:r>
        <w:rPr>
          <w:rFonts w:hint="eastAsia"/>
          <w:sz w:val="24"/>
          <w:szCs w:val="32"/>
          <w:lang w:val="en-US" w:eastAsia="zh-CN"/>
        </w:rPr>
        <w:t xml:space="preserve">                                  </w:t>
      </w:r>
      <w:r>
        <w:rPr>
          <w:rFonts w:hint="eastAsia"/>
          <w:sz w:val="24"/>
          <w:szCs w:val="32"/>
        </w:rPr>
        <w:t>地址</w:t>
      </w:r>
    </w:p>
    <w:p>
      <w:pPr>
        <w:spacing w:line="360" w:lineRule="auto"/>
        <w:rPr>
          <w:rFonts w:hint="eastAsia"/>
          <w:sz w:val="24"/>
          <w:szCs w:val="32"/>
        </w:rPr>
      </w:pPr>
      <w:r>
        <w:rPr>
          <w:rFonts w:hint="eastAsia"/>
          <w:sz w:val="24"/>
          <w:szCs w:val="32"/>
        </w:rPr>
        <w:t xml:space="preserve">联系电话 </w:t>
      </w:r>
      <w:r>
        <w:rPr>
          <w:rFonts w:hint="eastAsia"/>
          <w:sz w:val="24"/>
          <w:szCs w:val="32"/>
          <w:lang w:val="en-US" w:eastAsia="zh-CN"/>
        </w:rPr>
        <w:t xml:space="preserve">                              </w:t>
      </w:r>
      <w:r>
        <w:rPr>
          <w:rFonts w:hint="eastAsia"/>
          <w:sz w:val="24"/>
          <w:szCs w:val="32"/>
        </w:rPr>
        <w:t>联系电话</w:t>
      </w:r>
    </w:p>
    <w:p>
      <w:pPr>
        <w:spacing w:line="360" w:lineRule="auto"/>
        <w:rPr>
          <w:rFonts w:hint="eastAsia"/>
          <w:sz w:val="24"/>
          <w:szCs w:val="32"/>
        </w:rPr>
      </w:pPr>
      <w:r>
        <w:rPr>
          <w:rFonts w:hint="eastAsia"/>
          <w:sz w:val="24"/>
          <w:szCs w:val="32"/>
        </w:rPr>
        <w:t xml:space="preserve">签约日期： 年 月 日 </w:t>
      </w:r>
      <w:r>
        <w:rPr>
          <w:rFonts w:hint="eastAsia"/>
          <w:sz w:val="24"/>
          <w:szCs w:val="32"/>
          <w:lang w:val="en-US" w:eastAsia="zh-CN"/>
        </w:rPr>
        <w:t xml:space="preserve">                   </w:t>
      </w:r>
      <w:r>
        <w:rPr>
          <w:rFonts w:hint="eastAsia"/>
          <w:sz w:val="24"/>
          <w:szCs w:val="32"/>
        </w:rPr>
        <w:t>开户名：</w:t>
      </w:r>
    </w:p>
    <w:p>
      <w:pPr>
        <w:spacing w:line="360" w:lineRule="auto"/>
        <w:rPr>
          <w:rFonts w:hint="eastAsia"/>
          <w:sz w:val="24"/>
          <w:szCs w:val="32"/>
        </w:rPr>
      </w:pPr>
      <w:r>
        <w:rPr>
          <w:rFonts w:hint="eastAsia"/>
          <w:sz w:val="24"/>
          <w:szCs w:val="32"/>
        </w:rPr>
        <w:t xml:space="preserve">签约地点： </w:t>
      </w:r>
      <w:r>
        <w:rPr>
          <w:rFonts w:hint="eastAsia"/>
          <w:sz w:val="24"/>
          <w:szCs w:val="32"/>
          <w:lang w:val="en-US" w:eastAsia="zh-CN"/>
        </w:rPr>
        <w:t xml:space="preserve">                            </w:t>
      </w:r>
      <w:r>
        <w:rPr>
          <w:rFonts w:hint="eastAsia"/>
          <w:sz w:val="24"/>
          <w:szCs w:val="32"/>
        </w:rPr>
        <w:t>开户银行：</w:t>
      </w:r>
    </w:p>
    <w:p>
      <w:pPr>
        <w:spacing w:line="360" w:lineRule="auto"/>
        <w:rPr>
          <w:rFonts w:hint="eastAsia"/>
          <w:sz w:val="24"/>
          <w:szCs w:val="32"/>
        </w:rPr>
      </w:pPr>
      <w:r>
        <w:rPr>
          <w:rFonts w:hint="eastAsia"/>
          <w:sz w:val="24"/>
          <w:szCs w:val="32"/>
          <w:lang w:val="en-US" w:eastAsia="zh-CN"/>
        </w:rPr>
        <w:t xml:space="preserve">                                       </w:t>
      </w:r>
      <w:r>
        <w:rPr>
          <w:rFonts w:hint="eastAsia"/>
          <w:sz w:val="24"/>
          <w:szCs w:val="32"/>
        </w:rPr>
        <w:t>银行账户：</w:t>
      </w:r>
    </w:p>
    <w:p>
      <w:pPr>
        <w:spacing w:line="360" w:lineRule="auto"/>
        <w:rPr>
          <w:rFonts w:hint="eastAsia"/>
          <w:sz w:val="24"/>
          <w:szCs w:val="32"/>
          <w:lang w:val="en-US" w:eastAsia="zh-CN"/>
        </w:rPr>
      </w:pPr>
      <w:r>
        <w:rPr>
          <w:rFonts w:hint="eastAsia"/>
          <w:sz w:val="24"/>
          <w:szCs w:val="32"/>
          <w:lang w:val="en-US" w:eastAsia="zh-CN"/>
        </w:rPr>
        <w:t xml:space="preserve">                                        </w:t>
      </w:r>
    </w:p>
    <w:p>
      <w:pPr>
        <w:spacing w:line="360" w:lineRule="auto"/>
        <w:rPr>
          <w:rFonts w:hint="eastAsia"/>
          <w:sz w:val="24"/>
          <w:szCs w:val="32"/>
          <w:lang w:val="en-US" w:eastAsia="zh-CN"/>
        </w:rPr>
      </w:pPr>
    </w:p>
    <w:p>
      <w:pPr>
        <w:spacing w:line="360" w:lineRule="auto"/>
        <w:rPr>
          <w:rFonts w:hint="eastAsia"/>
          <w:sz w:val="24"/>
          <w:szCs w:val="32"/>
        </w:rPr>
      </w:pPr>
      <w:r>
        <w:rPr>
          <w:rFonts w:hint="eastAsia"/>
          <w:sz w:val="24"/>
          <w:szCs w:val="32"/>
          <w:lang w:val="en-US" w:eastAsia="zh-CN"/>
        </w:rPr>
        <w:t xml:space="preserve">                                       </w:t>
      </w:r>
      <w:r>
        <w:rPr>
          <w:rFonts w:hint="eastAsia"/>
          <w:sz w:val="24"/>
          <w:szCs w:val="32"/>
        </w:rPr>
        <w:t>签约日期：</w:t>
      </w:r>
      <w:r>
        <w:rPr>
          <w:rFonts w:hint="eastAsia"/>
          <w:sz w:val="24"/>
          <w:szCs w:val="32"/>
          <w:lang w:val="en-US" w:eastAsia="zh-CN"/>
        </w:rPr>
        <w:t xml:space="preserve"> </w:t>
      </w:r>
      <w:r>
        <w:rPr>
          <w:rFonts w:hint="eastAsia"/>
          <w:sz w:val="24"/>
          <w:szCs w:val="32"/>
        </w:rPr>
        <w:t xml:space="preserve"> 年 </w:t>
      </w:r>
      <w:r>
        <w:rPr>
          <w:rFonts w:hint="eastAsia"/>
          <w:sz w:val="24"/>
          <w:szCs w:val="32"/>
          <w:lang w:val="en-US" w:eastAsia="zh-CN"/>
        </w:rPr>
        <w:t xml:space="preserve"> </w:t>
      </w:r>
      <w:r>
        <w:rPr>
          <w:rFonts w:hint="eastAsia"/>
          <w:sz w:val="24"/>
          <w:szCs w:val="32"/>
        </w:rPr>
        <w:t xml:space="preserve">月 </w:t>
      </w:r>
      <w:r>
        <w:rPr>
          <w:rFonts w:hint="eastAsia"/>
          <w:sz w:val="24"/>
          <w:szCs w:val="32"/>
          <w:lang w:val="en-US" w:eastAsia="zh-CN"/>
        </w:rPr>
        <w:t xml:space="preserve"> </w:t>
      </w:r>
      <w:r>
        <w:rPr>
          <w:rFonts w:hint="eastAsia"/>
          <w:sz w:val="24"/>
          <w:szCs w:val="32"/>
        </w:rPr>
        <w:t>日</w:t>
      </w:r>
    </w:p>
    <w:p>
      <w:pPr>
        <w:spacing w:line="360" w:lineRule="auto"/>
        <w:rPr>
          <w:rFonts w:hint="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64118"/>
    <w:rsid w:val="2EE64118"/>
    <w:rsid w:val="5E6C35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2016-01-12T05:00:00Z</dcterms:created>
  <dc:creator>Administrator</dc:creator>
  <cp:lastModifiedBy>Administrator</cp:lastModifiedBy>
  <cp:lastPrinted>2016-01-12T05:43:03Z</cp:lastPrinted>
  <dcterms:modified xsi:type="dcterms:W3CDTF">2016-01-12T05:45:53Z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