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8.1.6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F3B01" w:rsidRPr="00510D86" w:rsidRDefault="00D07C3B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3001D">
            <w:rPr>
              <w:rFonts w:hint="eastAsia"/>
              <w:sz w:val="28"/>
            </w:rPr>
            <w:sym w:font="Wingdings 2" w:char="F052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F3B01" w:rsidRDefault="00FF3B01" w:rsidP="00FF3B01">
      <w:r>
        <w:rPr>
          <w:rFonts w:hint="eastAsia"/>
        </w:rPr>
        <w:t>场地内是否有以下建筑或设施：</w:t>
      </w:r>
      <w:sdt>
        <w:sdtPr>
          <w:id w:val="1943330368"/>
        </w:sdtPr>
        <w:sdtEndPr/>
        <w:sdtContent>
          <w:sdt>
            <w:sdtPr>
              <w:id w:val="10748460"/>
            </w:sdtPr>
            <w:sdtEndPr/>
            <w:sdtContent>
              <w:sdt>
                <w:sdtPr>
                  <w:id w:val="167648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03001D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3001D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3001D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03001D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/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/>
        <w:sdtContent>
          <w:sdt>
            <w:sdtPr>
              <w:id w:val="16764835"/>
            </w:sdtPr>
            <w:sdtEndPr/>
            <w:sdtContent>
              <w:sdt>
                <w:sdtPr>
                  <w:id w:val="-91917522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:rsidR="00C94DA3" w:rsidRPr="00C94DA3" w:rsidRDefault="00C94DA3" w:rsidP="00C94DA3">
            <w:pPr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风设施抽至排风井引出地面排放。备用柴油发电机运行过程中产生燃油废气，发电机房设置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于地下专用设备房内并设置洗烟措施，建筑内部设置专用排烟道。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水处理厂的受纳范围，生活污水经化粪池处理、地下车库冲洗废水经隔油沉砂池处理后进入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目内部环境和周边声环境产生明显影响。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F3B01" w:rsidRDefault="00FF3B01" w:rsidP="00FF3B01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:rsidR="00FF3B01" w:rsidRDefault="00FF3B01" w:rsidP="00FF3B01"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:rsidR="00FF3B01" w:rsidRDefault="00FF3B01" w:rsidP="00FF3B01">
      <w:r>
        <w:rPr>
          <w:rFonts w:hint="eastAsia"/>
        </w:rPr>
        <w:t>3</w:t>
      </w:r>
      <w:r>
        <w:rPr>
          <w:rFonts w:hint="eastAsia"/>
        </w:rPr>
        <w:t>）检测报告。</w:t>
      </w:r>
    </w:p>
    <w:p w:rsidR="00FF3B01" w:rsidRDefault="00FF3B01" w:rsidP="00FF3B01"/>
    <w:p w:rsidR="00FF3B01" w:rsidRPr="00547320" w:rsidRDefault="00FF3B01" w:rsidP="00FF3B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03001D" w:rsidRDefault="0003001D" w:rsidP="0003001D">
            <w:r>
              <w:lastRenderedPageBreak/>
              <w:t>1</w:t>
            </w:r>
            <w:r>
              <w:rPr>
                <w:rFonts w:hint="eastAsia"/>
              </w:rPr>
              <w:t>）环评报告书（表）或</w:t>
            </w:r>
            <w:r>
              <w:t>环境影响自评估报告</w:t>
            </w:r>
            <w:r>
              <w:rPr>
                <w:rFonts w:hint="eastAsia"/>
              </w:rPr>
              <w:t>；</w:t>
            </w:r>
          </w:p>
          <w:p w:rsidR="0003001D" w:rsidRDefault="0003001D" w:rsidP="0003001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）治理措施分析报告，应包括对污染物防治的措施分析及落实情况；</w:t>
            </w:r>
          </w:p>
          <w:p w:rsidR="0003001D" w:rsidRDefault="0003001D" w:rsidP="0003001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）检测报告。</w:t>
            </w:r>
          </w:p>
          <w:p w:rsidR="00FF3B01" w:rsidRPr="00D8117D" w:rsidRDefault="00FF3B0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3B" w:rsidRDefault="00D07C3B" w:rsidP="00FF3B01">
      <w:r>
        <w:separator/>
      </w:r>
    </w:p>
  </w:endnote>
  <w:endnote w:type="continuationSeparator" w:id="0">
    <w:p w:rsidR="00D07C3B" w:rsidRDefault="00D07C3B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3B" w:rsidRDefault="00D07C3B" w:rsidP="00FF3B01">
      <w:r>
        <w:separator/>
      </w:r>
    </w:p>
  </w:footnote>
  <w:footnote w:type="continuationSeparator" w:id="0">
    <w:p w:rsidR="00D07C3B" w:rsidRDefault="00D07C3B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3001D"/>
    <w:rsid w:val="00074A38"/>
    <w:rsid w:val="001645B5"/>
    <w:rsid w:val="0031739B"/>
    <w:rsid w:val="00901BFF"/>
    <w:rsid w:val="009A2BE4"/>
    <w:rsid w:val="00C94DA3"/>
    <w:rsid w:val="00D07C3B"/>
    <w:rsid w:val="00D8117D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2019-07-12T08:15:00Z</dcterms:created>
  <dcterms:modified xsi:type="dcterms:W3CDTF">2022-03-15T04:42:00Z</dcterms:modified>
</cp:coreProperties>
</file>