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  <w:jc w:val="center"/>
        </w:trPr>
        <w:tc>
          <w:tcPr>
            <w:tcW w:w="92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</w:t>
          </w:r>
          <w:r>
            <w:rPr>
              <w:rFonts w:hint="eastAsia"/>
              <w:u w:val="single"/>
              <w:lang w:val="zh-CN" w:eastAsia="zh-CN"/>
            </w:rPr>
            <w:t>下风向</w:t>
          </w:r>
          <w:bookmarkStart w:id="0" w:name="_GoBack"/>
          <w:bookmarkEnd w:id="0"/>
          <w:r>
            <w:rPr>
              <w:rFonts w:hint="eastAsia"/>
              <w:u w:val="single"/>
              <w:lang w:val="zh-CN"/>
            </w:rPr>
            <w:t xml:space="preserve">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8</w:t>
          </w:r>
          <w:r>
            <w:rPr>
              <w:rFonts w:hint="eastAsia"/>
              <w:u w:val="single"/>
              <w:lang w:val="zh-CN"/>
            </w:rPr>
            <w:t xml:space="preserve">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8</w:t>
          </w:r>
          <w:r>
            <w:rPr>
              <w:rFonts w:hint="eastAsia"/>
              <w:u w:val="single"/>
              <w:lang w:val="zh-CN"/>
            </w:rPr>
            <w:t xml:space="preserve">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符合消防安全要求</w:t>
            </w:r>
          </w:p>
          <w:p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与非吸烟区有效分隔</w:t>
            </w:r>
          </w:p>
          <w:p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远离人员密集区域和主要通道</w:t>
            </w:r>
          </w:p>
          <w:p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设置独立有效的通风换气装置</w:t>
            </w:r>
          </w:p>
          <w:p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设置醒目的标志</w:t>
            </w:r>
          </w:p>
          <w:p>
            <w:pPr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配置烟灰缸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2）景观专业竣工图纸及设计说明，应包括吸烟区布置情况。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CB11E9"/>
    <w:rsid w:val="00EB14FF"/>
    <w:rsid w:val="238C5E0E"/>
    <w:rsid w:val="645B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A3A9F109574658AF79F2E42FC048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3AA5F-E82F-48F6-839B-2452301486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0A918-7E91-4330-B993-73855E77F94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82B36C-F242-4AEA-A4CA-B3CFA9A8B59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406</Characters>
  <Lines>3</Lines>
  <Paragraphs>1</Paragraphs>
  <TotalTime>1</TotalTime>
  <ScaleCrop>false</ScaleCrop>
  <LinksUpToDate>false</LinksUpToDate>
  <CharactersWithSpaces>442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Administrator</cp:lastModifiedBy>
  <dcterms:modified xsi:type="dcterms:W3CDTF">2022-03-13T02:32:00Z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B01E4A8EE47D43CB96E7C1DDCE148B36</vt:lpwstr>
  </property>
</Properties>
</file>