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</w:rPr>
      </w:pPr>
      <w:r>
        <w:rPr>
          <w:rFonts w:hint="eastAsia"/>
          <w:sz w:val="24"/>
          <w:szCs w:val="40"/>
        </w:rPr>
        <w:t>7.1.8 不应</w:t>
      </w:r>
      <w:r>
        <w:rPr>
          <w:sz w:val="24"/>
          <w:szCs w:val="40"/>
        </w:rPr>
        <w:t>采用建筑形体和布置严重不规则的建筑结构</w:t>
      </w:r>
      <w:r>
        <w:rPr>
          <w:rFonts w:hint="eastAsia"/>
          <w:sz w:val="24"/>
          <w:szCs w:val="40"/>
        </w:rPr>
        <w:t>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518694585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37696982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 w:cs="宋体"/>
        </w:rPr>
        <w:t xml:space="preserve">建筑形体属于 </w:t>
      </w:r>
      <w:sdt>
        <w:sdtPr>
          <w:rPr>
            <w:rFonts w:hint="eastAsia"/>
            <w:sz w:val="28"/>
          </w:rPr>
          <w:id w:val="-1127386174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0" w:name="_GoBack"/>
          <w:bookmarkEnd w:id="0"/>
        </w:sdtContent>
      </w:sdt>
      <w:r>
        <w:rPr>
          <w:rFonts w:hint="eastAsia" w:cs="宋体"/>
        </w:rPr>
        <w:t xml:space="preserve">规则  </w:t>
      </w:r>
      <w:sdt>
        <w:sdtPr>
          <w:rPr>
            <w:rFonts w:hint="eastAsia"/>
            <w:sz w:val="28"/>
          </w:rPr>
          <w:id w:val="125847923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</w:rPr>
        <w:t xml:space="preserve">不规则  </w:t>
      </w:r>
      <w:sdt>
        <w:sdtPr>
          <w:rPr>
            <w:rFonts w:hint="eastAsia"/>
            <w:sz w:val="28"/>
          </w:rPr>
          <w:id w:val="-183167676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</w:rPr>
        <w:t xml:space="preserve">特别不规则  </w:t>
      </w:r>
      <w:sdt>
        <w:sdtPr>
          <w:rPr>
            <w:rFonts w:hint="eastAsia"/>
            <w:sz w:val="28"/>
          </w:rPr>
          <w:id w:val="-39489369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</w:rPr>
        <w:t>严重不规则</w:t>
      </w:r>
    </w:p>
    <w:p>
      <w:pPr>
        <w:rPr>
          <w:lang w:val="zh-CN"/>
        </w:rPr>
      </w:pPr>
      <w:r>
        <w:rPr>
          <w:rFonts w:hint="eastAsia" w:cs="宋体"/>
        </w:rPr>
        <w:t>不规则建筑形体判断：</w:t>
      </w:r>
    </w:p>
    <w:p>
      <w:pPr>
        <w:rPr>
          <w:rFonts w:cs="宋体"/>
        </w:rPr>
      </w:pPr>
      <w:r>
        <w:rPr>
          <w:rFonts w:hint="eastAsia"/>
          <w:b/>
          <w:bCs/>
          <w:lang w:val="zh-CN"/>
        </w:rPr>
        <w:t xml:space="preserve"> </w:t>
      </w:r>
      <w:r>
        <w:rPr>
          <w:rFonts w:hint="eastAsia" w:cs="宋体"/>
        </w:rPr>
        <w:t xml:space="preserve"> a）平面不规则类型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6058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不规则类型</w:t>
            </w:r>
          </w:p>
        </w:tc>
        <w:tc>
          <w:tcPr>
            <w:tcW w:w="6058" w:type="dxa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定义和参考指标</w:t>
            </w:r>
          </w:p>
        </w:tc>
        <w:tc>
          <w:tcPr>
            <w:tcW w:w="885" w:type="dxa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扭转不规则</w:t>
            </w:r>
          </w:p>
        </w:tc>
        <w:tc>
          <w:tcPr>
            <w:tcW w:w="6058" w:type="dxa"/>
          </w:tcPr>
          <w:p>
            <w:pPr>
              <w:spacing w:line="300" w:lineRule="exac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在规定的水平力作用下，楼层的最大弹性水平位移或（层间位移），大于该楼层两端弹性水平位移（或层间位移）平均值的1.2倍</w:t>
            </w:r>
          </w:p>
        </w:tc>
        <w:sdt>
          <w:sdtPr>
            <w:rPr>
              <w:b/>
              <w:bCs/>
              <w:lang w:val="zh-CN"/>
            </w:rPr>
            <w:id w:val="-1084069076"/>
            <w:placeholder>
              <w:docPart w:val="C320855BD0C748C4A04E07A122C85660"/>
            </w:placeholder>
            <w:comboBox>
              <w:listItem w:displayText="是" w:value="是"/>
              <w:listItem w:displayText="否" w:value="否"/>
            </w:comboBox>
          </w:sdtPr>
          <w:sdtEndPr>
            <w:rPr>
              <w:b/>
              <w:bCs/>
              <w:lang w:val="zh-CN"/>
            </w:rPr>
          </w:sdtEndPr>
          <w:sdtContent>
            <w:tc>
              <w:tcPr>
                <w:tcW w:w="885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凹凸不规则</w:t>
            </w:r>
          </w:p>
        </w:tc>
        <w:tc>
          <w:tcPr>
            <w:tcW w:w="6058" w:type="dxa"/>
          </w:tcPr>
          <w:p>
            <w:pPr>
              <w:spacing w:line="288" w:lineRule="auto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平面凹进的尺寸，大于相应投影方向总尺寸的30%</w:t>
            </w:r>
          </w:p>
        </w:tc>
        <w:sdt>
          <w:sdtPr>
            <w:rPr>
              <w:b/>
              <w:bCs/>
              <w:lang w:val="zh-CN"/>
            </w:rPr>
            <w:id w:val="-1836751118"/>
            <w:placeholder>
              <w:docPart w:val="E672D673A58A4F2CA03C3D7C7627C04C"/>
            </w:placeholder>
            <w:comboBox>
              <w:listItem w:displayText="是" w:value="是"/>
              <w:listItem w:displayText="否" w:value="否"/>
            </w:comboBox>
          </w:sdtPr>
          <w:sdtEndPr>
            <w:rPr>
              <w:b/>
              <w:bCs/>
              <w:lang w:val="zh-CN"/>
            </w:rPr>
          </w:sdtEndPr>
          <w:sdtContent>
            <w:tc>
              <w:tcPr>
                <w:tcW w:w="885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楼板局部不连续</w:t>
            </w:r>
          </w:p>
        </w:tc>
        <w:tc>
          <w:tcPr>
            <w:tcW w:w="6058" w:type="dxa"/>
          </w:tcPr>
          <w:p>
            <w:pPr>
              <w:spacing w:line="300" w:lineRule="exac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楼板的尺寸和平面刚度急剧变化，例如，有效楼板宽度小于该层楼板典型宽度的50%，或开洞面积大于该层楼面面积的30%，或较大的楼层错层。</w:t>
            </w:r>
          </w:p>
        </w:tc>
        <w:sdt>
          <w:sdtPr>
            <w:rPr>
              <w:b/>
              <w:bCs/>
              <w:lang w:val="zh-CN"/>
            </w:rPr>
            <w:id w:val="-1709942232"/>
            <w:placeholder>
              <w:docPart w:val="B77A38F71748464B8C9F62E7B0265A29"/>
            </w:placeholder>
            <w:comboBox>
              <w:listItem w:displayText="是" w:value="是"/>
              <w:listItem w:displayText="否" w:value="否"/>
            </w:comboBox>
          </w:sdtPr>
          <w:sdtEndPr>
            <w:rPr>
              <w:b/>
              <w:bCs/>
              <w:lang w:val="zh-CN"/>
            </w:rPr>
          </w:sdtEndPr>
          <w:sdtContent>
            <w:tc>
              <w:tcPr>
                <w:tcW w:w="885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</w:tbl>
    <w:p>
      <w:pPr>
        <w:ind w:firstLine="210" w:firstLineChars="100"/>
        <w:rPr>
          <w:rFonts w:cs="宋体"/>
        </w:rPr>
      </w:pPr>
      <w:r>
        <w:rPr>
          <w:rFonts w:hint="eastAsia" w:cs="宋体"/>
        </w:rPr>
        <w:t>b）竖向不规则类型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23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不规则类型</w:t>
            </w:r>
          </w:p>
        </w:tc>
        <w:tc>
          <w:tcPr>
            <w:tcW w:w="6237" w:type="dxa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定义和参考指标</w:t>
            </w:r>
          </w:p>
        </w:tc>
        <w:tc>
          <w:tcPr>
            <w:tcW w:w="851" w:type="dxa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侧向刚度不规则</w:t>
            </w:r>
          </w:p>
        </w:tc>
        <w:tc>
          <w:tcPr>
            <w:tcW w:w="6237" w:type="dxa"/>
          </w:tcPr>
          <w:p>
            <w:pPr>
              <w:spacing w:line="300" w:lineRule="exac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该层的侧向刚度小于相邻上一层的70%，或小于其上相邻三个楼层侧向刚度平均值的80%；除顶层或出屋面小建筑外，局部收进的水平向尺寸大于相邻下一层的25%</w:t>
            </w:r>
          </w:p>
        </w:tc>
        <w:sdt>
          <w:sdtPr>
            <w:rPr>
              <w:b/>
              <w:bCs/>
              <w:lang w:val="zh-CN"/>
            </w:rPr>
            <w:id w:val="-1238711854"/>
            <w:placeholder>
              <w:docPart w:val="7FB8D31D7B0F4CA89E3122CCC8C21DE7"/>
            </w:placeholder>
            <w:comboBox>
              <w:listItem w:displayText="是" w:value="是"/>
              <w:listItem w:displayText="否" w:value="否"/>
            </w:comboBox>
          </w:sdtPr>
          <w:sdtEndPr>
            <w:rPr>
              <w:b/>
              <w:bCs/>
              <w:lang w:val="zh-CN"/>
            </w:rPr>
          </w:sdtEndPr>
          <w:sdtContent>
            <w:tc>
              <w:tcPr>
                <w:tcW w:w="851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竖向抗侧力构件不连续</w:t>
            </w:r>
          </w:p>
        </w:tc>
        <w:tc>
          <w:tcPr>
            <w:tcW w:w="6237" w:type="dxa"/>
          </w:tcPr>
          <w:p>
            <w:pPr>
              <w:spacing w:line="300" w:lineRule="exac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竖向抗侧力构件（柱、抗震墙、抗震支撑）的内力由水平转换构件（梁、桁架等）向下传递</w:t>
            </w:r>
          </w:p>
        </w:tc>
        <w:sdt>
          <w:sdtPr>
            <w:rPr>
              <w:b/>
              <w:bCs/>
              <w:lang w:val="zh-CN"/>
            </w:rPr>
            <w:id w:val="-960031325"/>
            <w:placeholder>
              <w:docPart w:val="49D6AC55C2A64561897DF3DDDE7F32FE"/>
            </w:placeholder>
            <w:comboBox>
              <w:listItem w:displayText="是" w:value="是"/>
              <w:listItem w:displayText="否" w:value="否"/>
            </w:comboBox>
          </w:sdtPr>
          <w:sdtEndPr>
            <w:rPr>
              <w:b/>
              <w:bCs/>
              <w:lang w:val="zh-CN"/>
            </w:rPr>
          </w:sdtEndPr>
          <w:sdtContent>
            <w:tc>
              <w:tcPr>
                <w:tcW w:w="851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楼板局部不连续</w:t>
            </w:r>
          </w:p>
        </w:tc>
        <w:tc>
          <w:tcPr>
            <w:tcW w:w="6237" w:type="dxa"/>
          </w:tcPr>
          <w:p>
            <w:pPr>
              <w:spacing w:line="288" w:lineRule="auto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抗侧力结构的层间受剪承载力小于相邻上一楼层的80%</w:t>
            </w:r>
          </w:p>
        </w:tc>
        <w:sdt>
          <w:sdtPr>
            <w:rPr>
              <w:b/>
              <w:bCs/>
              <w:lang w:val="zh-CN"/>
            </w:rPr>
            <w:id w:val="2134981425"/>
            <w:placeholder>
              <w:docPart w:val="1C1CBDDBA784441480C428E6B243C3DB"/>
            </w:placeholder>
            <w:comboBox>
              <w:listItem w:displayText="是" w:value="是"/>
              <w:listItem w:displayText="否" w:value="否"/>
            </w:comboBox>
          </w:sdtPr>
          <w:sdtEndPr>
            <w:rPr>
              <w:b/>
              <w:bCs/>
              <w:lang w:val="zh-CN"/>
            </w:rPr>
          </w:sdtEndPr>
          <w:sdtContent>
            <w:tc>
              <w:tcPr>
                <w:tcW w:w="851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1）建筑、结构专业竣工图及设计说明；</w:t>
      </w:r>
    </w:p>
    <w:p>
      <w:r>
        <w:rPr>
          <w:rFonts w:ascii="Times New Roman" w:hAnsi="Times New Roman" w:cs="Times New Roman" w:eastAsiaTheme="majorEastAsia"/>
        </w:rPr>
        <w:t>2</w:t>
      </w:r>
      <w:r>
        <w:rPr>
          <w:rFonts w:hint="eastAsia" w:ascii="Times New Roman" w:hAnsi="Times New Roman" w:cs="Times New Roman" w:eastAsiaTheme="majorEastAsia"/>
        </w:rPr>
        <w:t>）建筑形体规则性判定报告、结构专项论证报告。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85"/>
    <w:rsid w:val="00074A38"/>
    <w:rsid w:val="0037111D"/>
    <w:rsid w:val="00702C85"/>
    <w:rsid w:val="009332D1"/>
    <w:rsid w:val="009E1F15"/>
    <w:rsid w:val="00BC466A"/>
    <w:rsid w:val="2997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320855BD0C748C4A04E07A122C8566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731775-A9AF-4269-80BB-89F596664AC7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E672D673A58A4F2CA03C3D7C7627C04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04F333-B578-4333-A434-443EEB649A12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B77A38F71748464B8C9F62E7B0265A2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9B250F-3BEB-4345-B323-32821BAD508B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FB8D31D7B0F4CA89E3122CCC8C21DE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210E46-7D2D-41BC-9328-0DFAFE6CC118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49D6AC55C2A64561897DF3DDDE7F32F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B2FE9B-6EF8-4B97-B34F-DDBEA62A6D81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1C1CBDDBA784441480C428E6B243C3D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C0B293-5894-42A3-8193-92477429D284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0A"/>
    <w:rsid w:val="002B000A"/>
    <w:rsid w:val="004C1495"/>
    <w:rsid w:val="006E70AE"/>
    <w:rsid w:val="0089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C320855BD0C748C4A04E07A122C8566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672D673A58A4F2CA03C3D7C7627C0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B77A38F71748464B8C9F62E7B0265A2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FB8D31D7B0F4CA89E3122CCC8C21DE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49D6AC55C2A64561897DF3DDDE7F32F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C1CBDDBA784441480C428E6B243C3D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5EC4FA643CFF4CFB8531A48F28EA69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518</Characters>
  <Lines>4</Lines>
  <Paragraphs>1</Paragraphs>
  <TotalTime>5</TotalTime>
  <ScaleCrop>false</ScaleCrop>
  <LinksUpToDate>false</LinksUpToDate>
  <CharactersWithSpaces>607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2019-07-12T08:05:00Z</dcterms:created>
  <dc:creator>dongYP</dc:creator>
  <cp:lastModifiedBy>天凉好个秋</cp:lastModifiedBy>
  <dcterms:modified xsi:type="dcterms:W3CDTF">2022-03-15T14:29:14Z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D5AFD28E01D645FAA6BFCEE7495F8655</vt:lpwstr>
  </property>
</Properties>
</file>