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居住建筑－综合权衡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r>
        <w:rPr>
          <w:rFonts w:hint="eastAsia" w:ascii="宋体" w:hAnsi="宋体"/>
          <w:bCs/>
          <w:sz w:val="44"/>
          <w:szCs w:val="44"/>
          <w:lang w:val="en-US"/>
        </w:rPr>
        <w:t>被动建筑</w:t>
      </w:r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文思新村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4" w:name="地理位置"/>
            <w:r>
              <w:t>江苏-南京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bookmarkStart w:id="5" w:name="设计编号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BK40593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bookmarkStart w:id="6" w:name="建设单位"/>
            <w:bookmarkEnd w:id="6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南京工业大学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  <w:lang w:val="en-GB" w:eastAsia="zh-CN" w:bidi="ar-SA"/>
              </w:rPr>
            </w:pPr>
            <w:bookmarkStart w:id="7" w:name="设计单位"/>
            <w:bookmarkEnd w:id="7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南京工业大学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城市建设学院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6" w:name="_GoBack" w:colFirst="1" w:colLast="1"/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杨炎锴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程宏宏</w:t>
            </w:r>
          </w:p>
        </w:tc>
      </w:tr>
      <w:bookmarkEnd w:id="4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2022年1月6日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T15968196869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"_Toc92369280"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_Toc92369280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"_Toc92369281"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_Toc92369281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"_Toc92369282"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_Toc92369282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"_Toc92369283"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体形系数超标时，屋面K墙体K窗户K应达标</w:t>
      </w:r>
      <w:r>
        <w:tab/>
      </w:r>
      <w:r>
        <w:fldChar w:fldCharType="begin"/>
      </w:r>
      <w:r>
        <w:instrText xml:space="preserve"> PAGEREF _Toc92369283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"_Toc92369284"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窗墙比超标时，屋面K墙体K窗户K应达标</w:t>
      </w:r>
      <w:r>
        <w:tab/>
      </w:r>
      <w:r>
        <w:fldChar w:fldCharType="begin"/>
      </w:r>
      <w:r>
        <w:instrText xml:space="preserve"> PAGEREF _Toc92369284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"_Toc92369285"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外窗K超标时，屋面K和墙体K应达标</w:t>
      </w:r>
      <w:r>
        <w:tab/>
      </w:r>
      <w:r>
        <w:fldChar w:fldCharType="begin"/>
      </w:r>
      <w:r>
        <w:instrText xml:space="preserve"> PAGEREF _Toc92369285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"_Toc92369286"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外墙K超标时，屋面K和外窗K应达标</w:t>
      </w:r>
      <w:r>
        <w:tab/>
      </w:r>
      <w:r>
        <w:fldChar w:fldCharType="begin"/>
      </w:r>
      <w:r>
        <w:instrText xml:space="preserve"> PAGEREF _Toc92369286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"_Toc92369287"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窗的遮阳超标时，屋面,墙体,窗K应达标</w:t>
      </w:r>
      <w:r>
        <w:tab/>
      </w:r>
      <w:r>
        <w:fldChar w:fldCharType="begin"/>
      </w:r>
      <w:r>
        <w:instrText xml:space="preserve"> PAGEREF _Toc92369287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"_Toc92369288"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窗和外墙的传热系数不得同时超标</w:t>
      </w:r>
      <w:r>
        <w:tab/>
      </w:r>
      <w:r>
        <w:fldChar w:fldCharType="begin"/>
      </w:r>
      <w:r>
        <w:instrText xml:space="preserve"> PAGEREF _Toc92369288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"_Toc92369289"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窗的遮阳和传热系数不得同时超标</w:t>
      </w:r>
      <w:r>
        <w:tab/>
      </w:r>
      <w:r>
        <w:fldChar w:fldCharType="begin"/>
      </w:r>
      <w:r>
        <w:instrText xml:space="preserve"> PAGEREF _Toc92369289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"_Toc92369290"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通往封闭空间的户门</w:t>
      </w:r>
      <w:r>
        <w:tab/>
      </w:r>
      <w:r>
        <w:fldChar w:fldCharType="begin"/>
      </w:r>
      <w:r>
        <w:instrText xml:space="preserve"> PAGEREF _Toc92369290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"_Toc92369291"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_Toc92369291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"_Toc92369292" </w:instrText>
      </w:r>
      <w:r>
        <w:fldChar w:fldCharType="separate"/>
      </w:r>
      <w:r>
        <w:rPr>
          <w:rStyle w:val="21"/>
          <w:lang w:val="en-GB"/>
        </w:rPr>
        <w:t>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平均遮阳系数</w:t>
      </w:r>
      <w:r>
        <w:tab/>
      </w:r>
      <w:r>
        <w:fldChar w:fldCharType="begin"/>
      </w:r>
      <w:r>
        <w:instrText xml:space="preserve"> PAGEREF _Toc92369292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"_Toc92369293"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综合权衡</w:t>
      </w:r>
      <w:r>
        <w:tab/>
      </w:r>
      <w:r>
        <w:fldChar w:fldCharType="begin"/>
      </w:r>
      <w:r>
        <w:instrText xml:space="preserve"> PAGEREF _Toc92369293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"_Toc92369294"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建筑物的节能综合指标判断结论</w:t>
      </w:r>
      <w:r>
        <w:tab/>
      </w:r>
      <w:r>
        <w:fldChar w:fldCharType="begin"/>
      </w:r>
      <w:r>
        <w:instrText xml:space="preserve"> PAGEREF _Toc92369294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92369280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文思新村-改造后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江苏-南京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32.04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118.78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1440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17.4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4177.13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1349.27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235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r>
              <w:t>砖混结构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4"/>
    </w:tbl>
    <w:p>
      <w:pPr>
        <w:pStyle w:val="2"/>
      </w:pPr>
      <w:bookmarkStart w:id="30" w:name="_Toc92369281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《江苏省居住建筑热环境和节能设计标准》(DGJ32/J 71-2014)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《夏热冬冷地区居住建筑节能设计标准》(JGJ134-2010)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《江苏省绿色建筑工程施工图设计文件编制深度规定》（2014年版）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《建筑外门窗气密，水密，抗风压性能分级及检测方法》（GB/T 7106-2008）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92369282"/>
      <w:r>
        <w:rPr>
          <w:kern w:val="2"/>
          <w:szCs w:val="24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718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813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813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718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622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718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53000" cy="36385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92369283"/>
      <w:r>
        <w:rPr>
          <w:kern w:val="2"/>
          <w:szCs w:val="24"/>
        </w:rPr>
        <w:t>体形系数超标时，屋面K墙体K窗户K应达标</w:t>
      </w:r>
      <w:bookmarkEnd w:id="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江苏省绿色建筑施工图设计文件编制深度规定（2014年版）第2.4.4-1条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进行性能性指标设计时，因体形系数超标时，屋面、墙体、窗户的传热系数、热隋性指标应满足相近体形系数达标时规定性指标的要求。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5" w:name="_Toc92369284"/>
      <w:r>
        <w:rPr>
          <w:kern w:val="2"/>
          <w:szCs w:val="24"/>
        </w:rPr>
        <w:t>窗墙比超标时，屋面K墙体K窗户K应达标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江苏省绿色建筑施工图设计文件编制深度规定（2014年版）第2.4.4-2条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进行性能性指标设计时，因窗墙面积比超标时，屋面和墙体的传热系数、热隋性指标应满足规定性指标的要求，窗户的传热系数应满足相近窗墙面积比达标时规定性指标的要求。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6" w:name="_Toc92369285"/>
      <w:r>
        <w:rPr>
          <w:kern w:val="2"/>
          <w:szCs w:val="24"/>
        </w:rPr>
        <w:t>外窗K超标时，屋面K和墙体K应达标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江苏省绿色建筑施工图设计文件编制深度规定（2014年版）第2.4.4-3条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进行性能性指标设计时，因窗传热系数超标时，屋面和墙的传热系数、热隋性指标应满足规定性指标的要求。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7" w:name="_Toc92369286"/>
      <w:r>
        <w:rPr>
          <w:kern w:val="2"/>
          <w:szCs w:val="24"/>
        </w:rPr>
        <w:t>外墙K超标时，屋面K和外窗K应达标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江苏省绿色建筑施工图设计文件编制深度规定（2014年版）第2.4.4-4条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进行性能性指标设计时，因外墙传热系数超标时，屋面和窗的传热系数应满足规定性指标的要求。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8" w:name="_Toc92369287"/>
      <w:r>
        <w:rPr>
          <w:kern w:val="2"/>
          <w:szCs w:val="24"/>
        </w:rPr>
        <w:t>窗的遮阳超标时，屋面,墙体,窗K应达标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江苏省绿色建筑施工图设计文件编制深度规定（2014年版）第2.4.4-5条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进行性能性指标设计时，因窗的遮阳超标时，屋面、墙和窗的传热系数或传热阻、居住建筑的热隋性指标应满足规定性指标的要求。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9" w:name="_Toc92369288"/>
      <w:r>
        <w:rPr>
          <w:kern w:val="2"/>
          <w:szCs w:val="24"/>
        </w:rPr>
        <w:t>窗和外墙的传热系数不得同时超标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江苏省绿色建筑施工图设计文件编制深度规定（2014年版）第2.4.4-6-2条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窗和外墙的传热系数或传热阻同时不达标时，不得进行性能性指标设计。即进行性能性指标设计时，窗和外墙的传热系数或传热阻不得同时超标。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40" w:name="_Toc92369289"/>
      <w:r>
        <w:rPr>
          <w:kern w:val="2"/>
          <w:szCs w:val="24"/>
        </w:rPr>
        <w:t>窗的遮阳和传热系数不得同时超标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江苏省绿色建筑施工图设计文件编制深度规定（2014年版）第2.4.4-6-3条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窗的遮阳和传热系数同时不达标时，不得进行性能性指标设计。即进行性能性指标设计时，窗的遮阳和传热系数不得同时超标。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41" w:name="_Toc92369290"/>
      <w:r>
        <w:rPr>
          <w:kern w:val="2"/>
          <w:szCs w:val="24"/>
        </w:rPr>
        <w:t>通往封闭空间的户门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单层实体门</w:t>
            </w:r>
          </w:p>
        </w:tc>
        <w:tc>
          <w:tcPr>
            <w:tcW w:w="1358" w:type="dxa"/>
            <w:vAlign w:val="center"/>
          </w:tcPr>
          <w:p>
            <w:r>
              <w:t>37.80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2.30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《江苏省居住建筑热环境和节能设计标准》(DGJ32/J 71-2014)第5.2.1~5.2.6条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K&lt;=2.4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42" w:name="_Toc92369291"/>
      <w:r>
        <w:rPr>
          <w:kern w:val="2"/>
          <w:szCs w:val="24"/>
        </w:rPr>
        <w:t>外窗热工</w:t>
      </w:r>
      <w:bookmarkEnd w:id="42"/>
    </w:p>
    <w:p>
      <w:pPr>
        <w:pStyle w:val="4"/>
        <w:widowControl w:val="0"/>
        <w:rPr>
          <w:kern w:val="2"/>
        </w:rPr>
      </w:pPr>
      <w:bookmarkStart w:id="43" w:name="_Toc92369292"/>
      <w:r>
        <w:rPr>
          <w:kern w:val="2"/>
        </w:rPr>
        <w:t>平均遮阳系数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1697"/>
        <w:gridCol w:w="2910"/>
        <w:gridCol w:w="12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计算值</w:t>
            </w:r>
          </w:p>
        </w:tc>
        <w:tc>
          <w:tcPr>
            <w:tcW w:w="2909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vAlign w:val="center"/>
          </w:tcPr>
          <w:p>
            <w:r>
              <w:t>东向夏季综合遮阳系数</w:t>
            </w:r>
          </w:p>
        </w:tc>
        <w:tc>
          <w:tcPr>
            <w:tcW w:w="1697" w:type="dxa"/>
            <w:vAlign w:val="center"/>
          </w:tcPr>
          <w:p>
            <w:r>
              <w:t>全遮蔽外遮阳</w:t>
            </w:r>
          </w:p>
        </w:tc>
        <w:tc>
          <w:tcPr>
            <w:tcW w:w="2909" w:type="dxa"/>
            <w:vAlign w:val="center"/>
          </w:tcPr>
          <w:p>
            <w:r>
              <w:t>ScSumE≤0.30或有全遮蔽外遮阳</w:t>
            </w:r>
          </w:p>
        </w:tc>
        <w:tc>
          <w:tcPr>
            <w:tcW w:w="120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vAlign w:val="center"/>
          </w:tcPr>
          <w:p>
            <w:r>
              <w:t>西向夏季综合遮阳系数</w:t>
            </w:r>
          </w:p>
        </w:tc>
        <w:tc>
          <w:tcPr>
            <w:tcW w:w="1697" w:type="dxa"/>
            <w:vAlign w:val="center"/>
          </w:tcPr>
          <w:p>
            <w:r>
              <w:t>全遮蔽外遮阳</w:t>
            </w:r>
          </w:p>
        </w:tc>
        <w:tc>
          <w:tcPr>
            <w:tcW w:w="2909" w:type="dxa"/>
            <w:vAlign w:val="center"/>
          </w:tcPr>
          <w:p>
            <w:r>
              <w:t>ScSumW≤0.25或有全遮蔽外遮阳</w:t>
            </w:r>
          </w:p>
        </w:tc>
        <w:tc>
          <w:tcPr>
            <w:tcW w:w="120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vAlign w:val="center"/>
          </w:tcPr>
          <w:p>
            <w:r>
              <w:t>东向冬季综合遮阳系数</w:t>
            </w:r>
          </w:p>
        </w:tc>
        <w:tc>
          <w:tcPr>
            <w:tcW w:w="1697" w:type="dxa"/>
            <w:vAlign w:val="center"/>
          </w:tcPr>
          <w:p>
            <w:r>
              <w:t>ScWinE=0.85</w:t>
            </w:r>
          </w:p>
        </w:tc>
        <w:tc>
          <w:tcPr>
            <w:tcW w:w="2909" w:type="dxa"/>
            <w:vAlign w:val="center"/>
          </w:tcPr>
          <w:p>
            <w:r>
              <w:t>ScWinE≥0.60</w:t>
            </w:r>
          </w:p>
        </w:tc>
        <w:tc>
          <w:tcPr>
            <w:tcW w:w="120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vAlign w:val="center"/>
          </w:tcPr>
          <w:p>
            <w:r>
              <w:t>西向冬季综合遮阳系数</w:t>
            </w:r>
          </w:p>
        </w:tc>
        <w:tc>
          <w:tcPr>
            <w:tcW w:w="1697" w:type="dxa"/>
            <w:vAlign w:val="center"/>
          </w:tcPr>
          <w:p>
            <w:r>
              <w:t>ScWinW=0.97</w:t>
            </w:r>
          </w:p>
        </w:tc>
        <w:tc>
          <w:tcPr>
            <w:tcW w:w="2909" w:type="dxa"/>
            <w:vAlign w:val="center"/>
          </w:tcPr>
          <w:p>
            <w:r>
              <w:t>ScWinW≥0.60</w:t>
            </w:r>
          </w:p>
        </w:tc>
        <w:tc>
          <w:tcPr>
            <w:tcW w:w="120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811" w:type="dxa"/>
            <w:gridSpan w:val="3"/>
            <w:vAlign w:val="center"/>
          </w:tcPr>
          <w:p>
            <w:r>
              <w:t>江苏省绿色建筑施工图设计文件编制深度规定（2014年版）第2.4.4-6-5条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811" w:type="dxa"/>
            <w:gridSpan w:val="3"/>
            <w:vAlign w:val="center"/>
          </w:tcPr>
          <w:p>
            <w:r>
              <w:t>居住建筑南、东、西向遮阳系数不达标不得进行性能指标设计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811" w:type="dxa"/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44" w:name="_Toc92369293"/>
      <w:r>
        <w:rPr>
          <w:kern w:val="2"/>
          <w:szCs w:val="24"/>
        </w:rPr>
        <w:t>综合权衡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采暖空调耗电量指标(kWh/㎡)</w:t>
            </w:r>
          </w:p>
        </w:tc>
        <w:tc>
          <w:tcPr>
            <w:tcW w:w="2971" w:type="dxa"/>
            <w:vAlign w:val="center"/>
          </w:tcPr>
          <w:p>
            <w:r>
              <w:t>10.11</w:t>
            </w:r>
          </w:p>
        </w:tc>
        <w:tc>
          <w:tcPr>
            <w:tcW w:w="2971" w:type="dxa"/>
            <w:vAlign w:val="center"/>
          </w:tcPr>
          <w:p>
            <w:r>
              <w:t>22.40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采暖耗电量指标(kWh/㎡)</w:t>
            </w:r>
          </w:p>
        </w:tc>
        <w:tc>
          <w:tcPr>
            <w:tcW w:w="2971" w:type="dxa"/>
            <w:vAlign w:val="center"/>
          </w:tcPr>
          <w:p>
            <w:r>
              <w:t>6.00</w:t>
            </w:r>
          </w:p>
        </w:tc>
        <w:tc>
          <w:tcPr>
            <w:tcW w:w="2971" w:type="dxa"/>
            <w:vAlign w:val="center"/>
          </w:tcPr>
          <w:p>
            <w:r>
              <w:t>10.40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空调耗电量指标(kWh/㎡)</w:t>
            </w:r>
          </w:p>
        </w:tc>
        <w:tc>
          <w:tcPr>
            <w:tcW w:w="2971" w:type="dxa"/>
            <w:vAlign w:val="center"/>
          </w:tcPr>
          <w:p>
            <w:r>
              <w:t>4.11</w:t>
            </w:r>
          </w:p>
        </w:tc>
        <w:tc>
          <w:tcPr>
            <w:tcW w:w="2971" w:type="dxa"/>
            <w:vAlign w:val="center"/>
          </w:tcPr>
          <w:p>
            <w:r>
              <w:t>12.00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采暖耗热量指标(W/㎡)</w:t>
            </w:r>
          </w:p>
        </w:tc>
        <w:tc>
          <w:tcPr>
            <w:tcW w:w="2971" w:type="dxa"/>
            <w:vAlign w:val="center"/>
          </w:tcPr>
          <w:p>
            <w:r>
              <w:t>7.53</w:t>
            </w:r>
          </w:p>
        </w:tc>
        <w:tc>
          <w:tcPr>
            <w:tcW w:w="2971" w:type="dxa"/>
            <w:vAlign w:val="center"/>
          </w:tcPr>
          <w:p>
            <w:r>
              <w:t>48.00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空调耗冷量指标(W/㎡)</w:t>
            </w:r>
          </w:p>
        </w:tc>
        <w:tc>
          <w:tcPr>
            <w:tcW w:w="2971" w:type="dxa"/>
            <w:vAlign w:val="center"/>
          </w:tcPr>
          <w:p>
            <w:r>
              <w:t>9.14</w:t>
            </w:r>
          </w:p>
        </w:tc>
        <w:tc>
          <w:tcPr>
            <w:tcW w:w="2971" w:type="dxa"/>
            <w:vAlign w:val="center"/>
          </w:tcPr>
          <w:p>
            <w:r>
              <w:t>40.00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节能率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84.21%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《江苏省居住建筑热环境和节能设计标准》(DGJ32/J 71-2014)第3.2.1、3.2.2条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设计建筑的采暖空调耗电量不应大于给定的限值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45" w:name="_Toc92369294"/>
      <w:r>
        <w:rPr>
          <w:kern w:val="2"/>
          <w:szCs w:val="24"/>
        </w:rPr>
        <w:t>建筑物的节能综合指标判断结论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体形系数超标时，屋面K墙体K窗户K应达标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窗墙比超标时，屋面K墙体K窗户K应达标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外窗K超标时，屋面K和墙体K应达标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外墙K超标时，屋面K和外窗K应达标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窗的遮阳超标时，屋面,墙体,窗K应达标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窗和外墙的传热系数不得同时超标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窗的遮阳和传热系数不得同时超标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楼梯间隔墙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通往封闭空间的户门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屋面内表面最高温度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外墙内表面最高温度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69" w:type="dxa"/>
            <w:vAlign w:val="center"/>
          </w:tcPr>
          <w:p>
            <w:r>
              <w:t>结露检查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4069" w:type="dxa"/>
            <w:vAlign w:val="center"/>
          </w:tcPr>
          <w:p>
            <w:r>
              <w:t>可开启面积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16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17</w:t>
            </w:r>
          </w:p>
        </w:tc>
        <w:tc>
          <w:tcPr>
            <w:tcW w:w="4069" w:type="dxa"/>
            <w:vAlign w:val="center"/>
          </w:tcPr>
          <w:p>
            <w:r>
              <w:t>综合权衡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r>
        <w:rPr>
          <w:color w:val="000000"/>
        </w:rPr>
        <w:t>说明：本工程进行性能性指标设计时，符合《江苏省居住建筑热环境和节能设计标准》第6节相关要求；设计建筑的采暖年、空调年计算耗电量之和，不超过第3节规定的采暖、空调年计算耗电量之和。节能符合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C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878CD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A14BB"/>
    <w:rsid w:val="00BB4C72"/>
    <w:rsid w:val="00BD39F3"/>
    <w:rsid w:val="00BE0BAC"/>
    <w:rsid w:val="00BE3C10"/>
    <w:rsid w:val="00BE75B4"/>
    <w:rsid w:val="00C130D5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7970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004;&#30805;\AppData\Local\Temp\tmp2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tmp28</Template>
  <Company>ths</Company>
  <Pages>12</Pages>
  <Words>595</Words>
  <Characters>3396</Characters>
  <Lines>28</Lines>
  <Paragraphs>7</Paragraphs>
  <TotalTime>0</TotalTime>
  <ScaleCrop>false</ScaleCrop>
  <LinksUpToDate>false</LinksUpToDate>
  <CharactersWithSpaces>3984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2022-01-06T05:47:00Z</dcterms:created>
  <dc:creator>姜硕</dc:creator>
  <cp:lastModifiedBy>Airhonh</cp:lastModifiedBy>
  <cp:lastPrinted>2411-12-31T16:00:00Z</cp:lastPrinted>
  <dcterms:modified xsi:type="dcterms:W3CDTF">2022-01-06T05:58:54Z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