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183" w:rsidRDefault="00BD6183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BD6183" w:rsidRDefault="00BD6183">
      <w:pPr>
        <w:spacing w:line="200" w:lineRule="atLeast"/>
        <w:ind w:left="1114"/>
        <w:rPr>
          <w:rFonts w:ascii="Times New Roman" w:eastAsia="Times New Roman" w:hAnsi="Times New Roman" w:cs="Times New Roman"/>
          <w:sz w:val="20"/>
          <w:szCs w:val="20"/>
        </w:rPr>
      </w:pPr>
    </w:p>
    <w:p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183" w:rsidRDefault="00BD6183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BD6183" w:rsidRPr="004B6737" w:rsidRDefault="00142AA0">
      <w:pPr>
        <w:spacing w:before="107"/>
        <w:ind w:left="1858"/>
        <w:rPr>
          <w:rFonts w:ascii="微软雅黑" w:eastAsia="微软雅黑" w:hAnsi="微软雅黑" w:cs="微软雅黑"/>
          <w:sz w:val="48"/>
          <w:szCs w:val="48"/>
          <w:lang w:eastAsia="zh-CN"/>
        </w:rPr>
      </w:pPr>
      <w:r w:rsidRPr="004B6737"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t>公共交通设施布局说明</w:t>
      </w:r>
    </w:p>
    <w:p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:rsidR="00BD6183" w:rsidRDefault="00E57C91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  <w: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br w:type="page"/>
      </w:r>
    </w:p>
    <w:p w:rsidR="00E57C91" w:rsidRDefault="00E57C91" w:rsidP="00E57C91">
      <w:pPr>
        <w:rPr>
          <w:rFonts w:ascii="宋体" w:eastAsia="宋体" w:hAnsi="宋体" w:cs="宋体"/>
          <w:b/>
          <w:bCs/>
          <w:sz w:val="36"/>
          <w:szCs w:val="36"/>
          <w:lang w:eastAsia="zh-CN"/>
        </w:rPr>
      </w:pPr>
    </w:p>
    <w:p w:rsidR="00E57C91" w:rsidRPr="00E57C91" w:rsidRDefault="00E57C91" w:rsidP="00E57C91">
      <w:pPr>
        <w:pStyle w:val="3"/>
        <w:ind w:left="338"/>
        <w:rPr>
          <w:u w:val="single"/>
          <w:lang w:eastAsia="zh-CN"/>
        </w:rPr>
      </w:pPr>
      <w:r w:rsidRPr="00E57C91">
        <w:rPr>
          <w:rFonts w:hint="eastAsia"/>
          <w:lang w:eastAsia="zh-CN"/>
        </w:rPr>
        <w:t>项目名称：</w:t>
      </w:r>
      <w:r w:rsidRPr="00E57C91">
        <w:rPr>
          <w:u w:val="single"/>
          <w:lang w:eastAsia="zh-CN"/>
        </w:rPr>
        <w:t xml:space="preserve">     </w:t>
      </w:r>
      <w:hyperlink r:id="rId6" w:history="1">
        <w:r w:rsidR="009465EB">
          <w:rPr>
            <w:rStyle w:val="a9"/>
            <w:rFonts w:ascii="Arial Narrow" w:hAnsi="Arial Narrow"/>
            <w:color w:val="08ADAF"/>
            <w:sz w:val="21"/>
            <w:szCs w:val="21"/>
            <w:shd w:val="clear" w:color="auto" w:fill="FFFFFF"/>
            <w:lang w:eastAsia="zh-CN"/>
          </w:rPr>
          <w:t>基于铁西工人村历史背景下的绿色社区营造</w:t>
        </w:r>
      </w:hyperlink>
      <w:r w:rsidRPr="00E57C91">
        <w:rPr>
          <w:u w:val="single"/>
          <w:lang w:eastAsia="zh-CN"/>
        </w:rPr>
        <w:t xml:space="preserve">   </w:t>
      </w:r>
    </w:p>
    <w:p w:rsidR="00E57C91" w:rsidRPr="00E57C91" w:rsidRDefault="00E57C91" w:rsidP="00E57C91">
      <w:pPr>
        <w:pStyle w:val="3"/>
        <w:ind w:left="338"/>
        <w:rPr>
          <w:lang w:eastAsia="zh-CN"/>
        </w:rPr>
      </w:pPr>
      <w:r w:rsidRPr="00E57C91">
        <w:rPr>
          <w:rFonts w:hint="eastAsia"/>
          <w:lang w:eastAsia="zh-CN"/>
        </w:rPr>
        <w:t>对标</w:t>
      </w:r>
      <w:r w:rsidRPr="00E57C91">
        <w:rPr>
          <w:lang w:eastAsia="zh-CN"/>
        </w:rPr>
        <w:t>条文：</w:t>
      </w:r>
    </w:p>
    <w:p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6.1.2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6.2.1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 w:rsidR="00E57C91" w:rsidRPr="00E57C91" w:rsidRDefault="00E57C91" w:rsidP="00E57C91">
      <w:pPr>
        <w:ind w:left="1440" w:firstLine="105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:rsidR="00142AA0" w:rsidRPr="00E57C91" w:rsidRDefault="00142AA0" w:rsidP="00E57C91">
      <w:pPr>
        <w:ind w:left="720" w:firstLine="72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6.2.3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 w:rsidR="00142AA0" w:rsidRPr="00E57C91" w:rsidRDefault="00142AA0" w:rsidP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1)   场地出入口到达幼儿园的步行距离不大于300m；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2)   场地出入口到达小学的步行距离不大于500m；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3)   场地出入口到达中学的步行距离不大于1000m；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4)   场地出入口到达医院的步行距离不大于1000m；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5)   场地出入口到达群众文化活动设施的步行距离不大于800m；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6)   场地出入口到达老年人日间照料设施的步行距离不大于500m；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7)   场地周边500m范围内具有不少于3种商业服务设施。</w:t>
      </w:r>
    </w:p>
    <w:p w:rsidR="00E57C91" w:rsidRPr="00E57C91" w:rsidRDefault="00E57C91" w:rsidP="00E57C91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</w:t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  <w:t xml:space="preserve">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2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公共建筑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满足下列要求中的3项，得5分；满足5项，得10分。</w:t>
      </w:r>
    </w:p>
    <w:p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:rsidR="00142AA0" w:rsidRPr="00E57C91" w:rsidRDefault="00142AA0" w:rsidP="00E57C91">
      <w:pPr>
        <w:ind w:left="138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 xml:space="preserve">6.2.4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 w:rsidR="00142AA0" w:rsidRPr="00E57C91" w:rsidRDefault="00142AA0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:rsidR="00142AA0" w:rsidRPr="00E57C91" w:rsidRDefault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到达中型多功能运动场地的步行距离不大于500m，得2分。</w:t>
      </w:r>
    </w:p>
    <w:p w:rsidR="00142AA0" w:rsidRDefault="00142AA0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142AA0" w:rsidRDefault="00142AA0" w:rsidP="00142AA0">
      <w:pPr>
        <w:pStyle w:val="3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:rsidR="00142AA0" w:rsidRDefault="00142AA0" w:rsidP="00142AA0">
      <w:pPr>
        <w:spacing w:before="8"/>
        <w:rPr>
          <w:rFonts w:ascii="宋体" w:eastAsia="宋体" w:hAnsi="宋体" w:cs="宋体"/>
          <w:b/>
          <w:bCs/>
          <w:sz w:val="17"/>
          <w:szCs w:val="17"/>
          <w:lang w:eastAsia="zh-CN"/>
        </w:rPr>
      </w:pPr>
    </w:p>
    <w:p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 w:rsidR="0000133F">
        <w:rPr>
          <w:rFonts w:hint="eastAsia"/>
          <w:spacing w:val="4"/>
          <w:u w:val="single"/>
          <w:lang w:eastAsia="zh-CN"/>
        </w:rPr>
        <w:t xml:space="preserve"> </w:t>
      </w:r>
      <w:r w:rsidR="0000133F">
        <w:rPr>
          <w:spacing w:val="4"/>
          <w:u w:val="single"/>
          <w:lang w:eastAsia="zh-CN"/>
        </w:rPr>
        <w:t xml:space="preserve">     </w:t>
      </w:r>
      <w:r w:rsidR="00F46530">
        <w:rPr>
          <w:rFonts w:hint="eastAsia"/>
          <w:spacing w:val="4"/>
          <w:u w:val="single"/>
          <w:lang w:eastAsia="zh-CN"/>
        </w:rPr>
        <w:t>重工街南十</w:t>
      </w:r>
      <w:r w:rsidR="0000133F">
        <w:rPr>
          <w:spacing w:val="4"/>
          <w:u w:val="single"/>
          <w:lang w:eastAsia="zh-CN"/>
        </w:rPr>
        <w:t xml:space="preserve"> 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 w:rsidR="00281291">
        <w:rPr>
          <w:rFonts w:ascii="Calibri" w:eastAsia="Calibri" w:hAnsi="Calibri" w:cs="Calibri"/>
          <w:u w:val="single" w:color="000000"/>
          <w:lang w:eastAsia="zh-CN"/>
        </w:rPr>
        <w:t xml:space="preserve">   </w:t>
      </w:r>
      <w:r w:rsidR="006D5CF6">
        <w:rPr>
          <w:rFonts w:asciiTheme="minorEastAsia" w:eastAsiaTheme="minorEastAsia" w:hAnsiTheme="minorEastAsia" w:cs="Calibri"/>
          <w:u w:val="single" w:color="000000"/>
          <w:lang w:eastAsia="zh-CN"/>
        </w:rPr>
        <w:t>4710</w:t>
      </w:r>
      <w:r w:rsidR="00281291">
        <w:rPr>
          <w:rFonts w:ascii="Calibri" w:eastAsia="Calibri" w:hAnsi="Calibri" w:cs="Calibri"/>
          <w:u w:val="single" w:color="000000"/>
          <w:lang w:eastAsia="zh-CN"/>
        </w:rPr>
        <w:t xml:space="preserve">     </w:t>
      </w:r>
      <w:r>
        <w:rPr>
          <w:rFonts w:ascii="Calibri" w:eastAsia="Calibri" w:hAnsi="Calibri" w:cs="Calibri"/>
          <w:u w:val="single" w:color="000000"/>
          <w:lang w:eastAsia="zh-CN"/>
        </w:rPr>
        <w:t xml:space="preserve"> </w:t>
      </w:r>
      <w:r>
        <w:rPr>
          <w:rFonts w:ascii="Calibri" w:eastAsia="Calibri" w:hAnsi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 w:rsidR="006D5CF6">
        <w:rPr>
          <w:spacing w:val="4"/>
          <w:lang w:eastAsia="zh-CN"/>
        </w:rPr>
        <w:t>2100</w:t>
      </w:r>
      <w:r>
        <w:rPr>
          <w:rFonts w:ascii="Calibri" w:eastAsia="Calibri" w:hAnsi="Calibri" w:cs="Calibri"/>
          <w:w w:val="95"/>
          <w:u w:val="single" w:color="000000"/>
          <w:lang w:eastAsia="zh-CN"/>
        </w:rPr>
        <w:tab/>
      </w:r>
      <w:r>
        <w:rPr>
          <w:spacing w:val="-1"/>
          <w:lang w:eastAsia="zh-CN"/>
        </w:rPr>
        <w:t>平方米，总户数</w:t>
      </w:r>
      <w:r w:rsidR="0000133F">
        <w:rPr>
          <w:rFonts w:ascii="Calibri" w:eastAsia="Calibri" w:hAnsi="Calibri" w:cs="Calibri"/>
          <w:u w:val="single" w:color="000000"/>
          <w:lang w:eastAsia="zh-CN"/>
        </w:rPr>
        <w:t xml:space="preserve">       </w:t>
      </w:r>
      <w:r>
        <w:rPr>
          <w:rFonts w:ascii="Calibri" w:eastAsia="Calibri" w:hAnsi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eastAsia="Calibri" w:hAnsi="Calibri" w:cs="Calibri"/>
          <w:spacing w:val="31"/>
          <w:u w:val="single" w:color="000000"/>
          <w:lang w:eastAsia="zh-CN"/>
        </w:rPr>
        <w:t xml:space="preserve"> </w:t>
      </w:r>
      <w:r w:rsidR="0000133F">
        <w:rPr>
          <w:rFonts w:ascii="Calibri" w:eastAsia="Calibri" w:hAnsi="Calibri" w:cs="Calibri"/>
          <w:spacing w:val="31"/>
          <w:u w:val="single" w:color="000000"/>
          <w:lang w:eastAsia="zh-CN"/>
        </w:rPr>
        <w:t xml:space="preserve">    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 w:rsidR="0000133F">
        <w:rPr>
          <w:rFonts w:ascii="Calibri" w:eastAsia="Calibri" w:hAnsi="Calibri" w:cs="Calibri"/>
          <w:spacing w:val="-1"/>
          <w:u w:val="single"/>
          <w:lang w:eastAsia="zh-CN"/>
        </w:rPr>
        <w:t xml:space="preserve">      </w:t>
      </w:r>
      <w:r w:rsidR="00F46530">
        <w:rPr>
          <w:rFonts w:asciiTheme="minorEastAsia" w:eastAsiaTheme="minorEastAsia" w:hAnsiTheme="minorEastAsia" w:cs="Calibri" w:hint="eastAsia"/>
          <w:spacing w:val="-1"/>
          <w:u w:val="single"/>
          <w:lang w:eastAsia="zh-CN"/>
        </w:rPr>
        <w:t>2</w:t>
      </w:r>
      <w:r w:rsidR="0000133F">
        <w:rPr>
          <w:rFonts w:ascii="Calibri" w:eastAsia="Calibri" w:hAnsi="Calibri" w:cs="Calibri"/>
          <w:spacing w:val="-1"/>
          <w:u w:val="single"/>
          <w:lang w:eastAsia="zh-CN"/>
        </w:rPr>
        <w:t xml:space="preserve">         </w:t>
      </w:r>
      <w:r>
        <w:rPr>
          <w:spacing w:val="-1"/>
          <w:lang w:eastAsia="zh-CN"/>
        </w:rPr>
        <w:t>层，地上面积</w:t>
      </w:r>
      <w:r w:rsidR="0000133F">
        <w:rPr>
          <w:rFonts w:ascii="Calibri" w:eastAsia="Calibri" w:hAnsi="Calibri" w:cs="Calibri"/>
          <w:lang w:eastAsia="zh-CN"/>
        </w:rPr>
        <w:t xml:space="preserve"> 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</w:t>
      </w:r>
      <w:r w:rsidR="006D5CF6">
        <w:rPr>
          <w:rFonts w:asciiTheme="minorEastAsia" w:eastAsiaTheme="minorEastAsia" w:hAnsiTheme="minorEastAsia" w:cs="Calibri"/>
          <w:u w:val="single"/>
          <w:lang w:eastAsia="zh-CN"/>
        </w:rPr>
        <w:t>1200</w:t>
      </w:r>
      <w:bookmarkStart w:id="0" w:name="_GoBack"/>
      <w:bookmarkEnd w:id="0"/>
      <w:r w:rsidR="0000133F">
        <w:rPr>
          <w:rFonts w:ascii="Calibri" w:eastAsia="Calibri" w:hAnsi="Calibri" w:cs="Calibri"/>
          <w:u w:val="single"/>
          <w:lang w:eastAsia="zh-CN"/>
        </w:rPr>
        <w:t xml:space="preserve">      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</w:t>
      </w:r>
      <w:r w:rsidR="00F46530">
        <w:rPr>
          <w:rFonts w:asciiTheme="minorEastAsia" w:eastAsiaTheme="minorEastAsia" w:hAnsiTheme="minorEastAsia" w:cs="Calibri" w:hint="eastAsia"/>
          <w:u w:val="single"/>
          <w:lang w:eastAsia="zh-CN"/>
        </w:rPr>
        <w:t>0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:rsidR="0000133F" w:rsidRPr="0000133F" w:rsidRDefault="0000133F" w:rsidP="0000133F">
      <w:pPr>
        <w:rPr>
          <w:rFonts w:ascii="宋体" w:eastAsia="宋体" w:hAnsi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:rsidR="00142AA0" w:rsidRP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 w:rsidRPr="0000133F">
        <w:rPr>
          <w:rFonts w:cs="宋体"/>
          <w:bCs/>
          <w:u w:val="single"/>
          <w:lang w:eastAsia="zh-CN"/>
        </w:rPr>
        <w:t xml:space="preserve">       </w:t>
      </w:r>
      <w:r w:rsidR="00F46530">
        <w:rPr>
          <w:rFonts w:cs="宋体" w:hint="eastAsia"/>
          <w:bCs/>
          <w:u w:val="single"/>
          <w:lang w:eastAsia="zh-CN"/>
        </w:rPr>
        <w:t>51</w:t>
      </w:r>
      <w:r w:rsidRPr="0000133F">
        <w:rPr>
          <w:rFonts w:cs="宋体"/>
          <w:bCs/>
          <w:u w:val="single"/>
          <w:lang w:eastAsia="zh-CN"/>
        </w:rPr>
        <w:t xml:space="preserve">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:rsidR="00142AA0" w:rsidRPr="0000133F" w:rsidRDefault="0000133F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cs="宋体" w:hint="eastAsia"/>
          <w:b/>
          <w:bCs/>
          <w:lang w:eastAsia="zh-CN"/>
        </w:rPr>
        <w:t>：</w:t>
      </w:r>
      <w:r w:rsidRPr="0000133F">
        <w:rPr>
          <w:rFonts w:cs="宋体"/>
          <w:bCs/>
          <w:u w:val="single"/>
          <w:lang w:eastAsia="zh-CN"/>
        </w:rPr>
        <w:t xml:space="preserve">        </w:t>
      </w:r>
      <w:r w:rsidR="00F46530">
        <w:rPr>
          <w:rFonts w:cs="宋体" w:hint="eastAsia"/>
          <w:bCs/>
          <w:u w:val="single"/>
          <w:lang w:eastAsia="zh-CN"/>
        </w:rPr>
        <w:t>213</w:t>
      </w:r>
      <w:r w:rsidRPr="0000133F">
        <w:rPr>
          <w:rFonts w:cs="宋体"/>
          <w:bCs/>
          <w:u w:val="single"/>
          <w:lang w:eastAsia="zh-CN"/>
        </w:rPr>
        <w:t xml:space="preserve">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:rsidR="00BD6183" w:rsidRPr="0000133F" w:rsidRDefault="00BD6183">
      <w:pPr>
        <w:spacing w:before="9"/>
        <w:rPr>
          <w:rFonts w:ascii="Calibri" w:hAnsi="Calibri" w:cs="Calibri"/>
          <w:sz w:val="25"/>
          <w:szCs w:val="25"/>
          <w:lang w:eastAsia="zh-CN"/>
        </w:rPr>
      </w:pPr>
    </w:p>
    <w:p w:rsidR="00BD6183" w:rsidRPr="0000133F" w:rsidRDefault="00142AA0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公交站点说明：</w:t>
      </w:r>
    </w:p>
    <w:p w:rsidR="0000133F" w:rsidRDefault="0000133F">
      <w:pPr>
        <w:pStyle w:val="3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 w:rsidR="007D070F" w:rsidRPr="007D070F">
        <w:rPr>
          <w:rFonts w:hint="eastAsia"/>
          <w:w w:val="95"/>
          <w:lang w:eastAsia="zh-CN"/>
        </w:rPr>
        <w:t>南十一路赞工街</w:t>
      </w:r>
      <w:r>
        <w:rPr>
          <w:w w:val="95"/>
          <w:lang w:eastAsia="zh-CN"/>
        </w:rPr>
        <w:t>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</w:t>
      </w:r>
      <w:r w:rsidR="00F46530">
        <w:rPr>
          <w:rFonts w:hint="eastAsia"/>
          <w:b w:val="0"/>
          <w:w w:val="95"/>
          <w:u w:val="single"/>
          <w:lang w:eastAsia="zh-CN"/>
        </w:rPr>
        <w:t>185路</w:t>
      </w:r>
      <w:r>
        <w:rPr>
          <w:b w:val="0"/>
          <w:w w:val="95"/>
          <w:u w:val="single"/>
          <w:lang w:eastAsia="zh-CN"/>
        </w:rPr>
        <w:t xml:space="preserve">                        </w:t>
      </w:r>
    </w:p>
    <w:p w:rsidR="0000133F" w:rsidRDefault="0000133F" w:rsidP="00F46530">
      <w:pPr>
        <w:pStyle w:val="3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 w:rsidR="00F46530" w:rsidRPr="00F46530">
        <w:rPr>
          <w:rFonts w:hint="eastAsia"/>
          <w:w w:val="95"/>
          <w:lang w:eastAsia="zh-CN"/>
        </w:rPr>
        <w:t>重工街南十路</w:t>
      </w:r>
      <w:r>
        <w:rPr>
          <w:w w:val="95"/>
          <w:lang w:eastAsia="zh-CN"/>
        </w:rPr>
        <w:t>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 w:rsidR="00F46530">
        <w:rPr>
          <w:b w:val="0"/>
          <w:w w:val="95"/>
          <w:u w:val="single"/>
          <w:lang w:eastAsia="zh-CN"/>
        </w:rPr>
        <w:t xml:space="preserve">        </w:t>
      </w:r>
      <w:r w:rsidR="00F46530" w:rsidRPr="00F46530">
        <w:rPr>
          <w:rFonts w:hint="eastAsia"/>
          <w:b w:val="0"/>
          <w:w w:val="95"/>
          <w:u w:val="single"/>
          <w:lang w:eastAsia="zh-CN"/>
        </w:rPr>
        <w:t>241路 ; 264路 ; 铁西新区一线</w:t>
      </w:r>
      <w:r>
        <w:rPr>
          <w:b w:val="0"/>
          <w:w w:val="95"/>
          <w:u w:val="single"/>
          <w:lang w:eastAsia="zh-CN"/>
        </w:rPr>
        <w:t xml:space="preserve">                       </w:t>
      </w:r>
    </w:p>
    <w:p w:rsidR="0000133F" w:rsidRDefault="0000133F" w:rsidP="0000133F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</w:p>
    <w:p w:rsidR="0000133F" w:rsidRDefault="0000133F" w:rsidP="0000133F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</w:p>
    <w:p w:rsidR="008250EA" w:rsidRPr="0000133F" w:rsidRDefault="008250EA" w:rsidP="0000133F">
      <w:pPr>
        <w:pStyle w:val="3"/>
        <w:spacing w:before="0"/>
        <w:rPr>
          <w:rFonts w:cs="宋体"/>
          <w:lang w:eastAsia="zh-CN"/>
        </w:rPr>
      </w:pPr>
      <w:r w:rsidRPr="008250EA">
        <w:rPr>
          <w:noProof/>
          <w:lang w:eastAsia="zh-CN"/>
        </w:rPr>
        <w:drawing>
          <wp:inline distT="0" distB="0" distL="0" distR="0" wp14:anchorId="6CC72561" wp14:editId="2EF1DAE6">
            <wp:extent cx="5429250" cy="1350645"/>
            <wp:effectExtent l="0" t="0" r="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33F" w:rsidRPr="0000133F" w:rsidRDefault="0000133F" w:rsidP="0000133F">
      <w:pPr>
        <w:pStyle w:val="3"/>
        <w:spacing w:before="0"/>
        <w:ind w:firstLine="602"/>
        <w:rPr>
          <w:b w:val="0"/>
          <w:bCs w:val="0"/>
          <w:u w:val="single"/>
          <w:lang w:eastAsia="zh-CN"/>
        </w:rPr>
      </w:pPr>
    </w:p>
    <w:p w:rsidR="0000133F" w:rsidRPr="0000133F" w:rsidRDefault="00142AA0" w:rsidP="0000133F">
      <w:pPr>
        <w:spacing w:line="311" w:lineRule="exact"/>
        <w:ind w:left="118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 w:rsidR="0000133F">
        <w:rPr>
          <w:rFonts w:ascii="微软雅黑" w:eastAsia="微软雅黑" w:hAnsi="微软雅黑" w:cs="微软雅黑"/>
          <w:sz w:val="21"/>
          <w:szCs w:val="21"/>
          <w:lang w:eastAsia="zh-CN"/>
        </w:rPr>
        <w:lastRenderedPageBreak/>
        <w:t xml:space="preserve"> </w:t>
      </w:r>
    </w:p>
    <w:p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cs="宋体" w:hint="eastAsia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 w:rsidR="0000133F" w:rsidRP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 w:rsidR="008250EA">
        <w:rPr>
          <w:rFonts w:cs="宋体" w:hint="eastAsia"/>
          <w:b/>
          <w:bCs/>
          <w:lang w:eastAsia="zh-CN"/>
        </w:rPr>
        <w:t xml:space="preserve">医 </w:t>
      </w:r>
      <w:r w:rsidR="008250EA">
        <w:rPr>
          <w:rFonts w:cs="宋体"/>
          <w:b/>
          <w:bCs/>
          <w:lang w:eastAsia="zh-CN"/>
        </w:rPr>
        <w:t xml:space="preserve"> </w:t>
      </w:r>
      <w:r w:rsidR="008250EA">
        <w:rPr>
          <w:rFonts w:cs="宋体" w:hint="eastAsia"/>
          <w:b/>
          <w:bCs/>
          <w:lang w:eastAsia="zh-CN"/>
        </w:rPr>
        <w:t>院</w:t>
      </w:r>
      <w:r>
        <w:rPr>
          <w:rFonts w:cs="宋体" w:hint="eastAsia"/>
          <w:b/>
          <w:bCs/>
          <w:lang w:eastAsia="zh-CN"/>
        </w:rPr>
        <w:t>：</w:t>
      </w:r>
      <w:r>
        <w:rPr>
          <w:rFonts w:cs="宋体"/>
          <w:b/>
          <w:bCs/>
          <w:u w:val="single"/>
          <w:lang w:eastAsia="zh-CN"/>
        </w:rPr>
        <w:t xml:space="preserve"> </w:t>
      </w:r>
      <w:r w:rsidRPr="0000133F">
        <w:rPr>
          <w:rFonts w:cs="宋体"/>
          <w:bCs/>
          <w:u w:val="single"/>
          <w:lang w:eastAsia="zh-CN"/>
        </w:rPr>
        <w:t xml:space="preserve">    </w:t>
      </w:r>
      <w:r w:rsidR="008250EA">
        <w:rPr>
          <w:rFonts w:cs="宋体"/>
          <w:bCs/>
          <w:u w:val="single"/>
          <w:lang w:eastAsia="zh-CN"/>
        </w:rPr>
        <w:t xml:space="preserve"> </w:t>
      </w:r>
      <w:r w:rsidR="008250EA">
        <w:rPr>
          <w:rFonts w:cs="宋体" w:hint="eastAsia"/>
          <w:bCs/>
          <w:u w:val="single"/>
          <w:lang w:eastAsia="zh-CN"/>
        </w:rPr>
        <w:t>617</w:t>
      </w:r>
      <w:r w:rsidR="008250EA">
        <w:rPr>
          <w:rFonts w:cs="宋体"/>
          <w:bCs/>
          <w:u w:val="single"/>
          <w:lang w:eastAsia="zh-CN"/>
        </w:rPr>
        <w:t xml:space="preserve">       </w:t>
      </w:r>
      <w:r w:rsidRPr="0000133F">
        <w:rPr>
          <w:rFonts w:cs="宋体"/>
          <w:bCs/>
          <w:u w:val="single"/>
          <w:lang w:eastAsia="zh-CN"/>
        </w:rPr>
        <w:t xml:space="preserve">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:rsidR="0000133F" w:rsidRPr="0000133F" w:rsidRDefault="0000133F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小  学：</w:t>
      </w:r>
      <w:r w:rsidRPr="0000133F">
        <w:rPr>
          <w:rFonts w:cs="宋体"/>
          <w:bCs/>
          <w:u w:val="single"/>
          <w:lang w:eastAsia="zh-CN"/>
        </w:rPr>
        <w:t xml:space="preserve">      </w:t>
      </w:r>
      <w:r w:rsidR="008250EA">
        <w:rPr>
          <w:rFonts w:cs="宋体" w:hint="eastAsia"/>
          <w:bCs/>
          <w:u w:val="single"/>
          <w:lang w:eastAsia="zh-CN"/>
        </w:rPr>
        <w:t>180</w:t>
      </w:r>
      <w:r w:rsidRPr="0000133F">
        <w:rPr>
          <w:rFonts w:cs="宋体"/>
          <w:bCs/>
          <w:u w:val="single"/>
          <w:lang w:eastAsia="zh-CN"/>
        </w:rPr>
        <w:t xml:space="preserve">  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:rsidR="0000133F" w:rsidRDefault="0000133F" w:rsidP="0000133F">
      <w:pPr>
        <w:pStyle w:val="3"/>
        <w:spacing w:before="0"/>
        <w:ind w:left="0"/>
        <w:rPr>
          <w:b w:val="0"/>
          <w:w w:val="95"/>
          <w:u w:val="single"/>
          <w:lang w:eastAsia="zh-CN"/>
        </w:rPr>
      </w:pPr>
    </w:p>
    <w:p w:rsidR="0000133F" w:rsidRDefault="0000133F" w:rsidP="0000133F">
      <w:pPr>
        <w:pStyle w:val="3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 w:rsidRPr="0000133F">
        <w:rPr>
          <w:rFonts w:cs="宋体" w:hint="eastAsia"/>
          <w:bCs w:val="0"/>
          <w:lang w:eastAsia="zh-CN"/>
        </w:rPr>
        <w:t>服务</w:t>
      </w:r>
      <w:r w:rsidRPr="0000133F">
        <w:rPr>
          <w:rFonts w:cs="宋体"/>
          <w:lang w:eastAsia="zh-CN"/>
        </w:rPr>
        <w:t>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</w:p>
    <w:p w:rsidR="008250EA" w:rsidRDefault="008250EA" w:rsidP="0000133F">
      <w:pPr>
        <w:pStyle w:val="3"/>
        <w:spacing w:before="0"/>
        <w:rPr>
          <w:rFonts w:cs="宋体"/>
          <w:lang w:eastAsia="zh-CN"/>
        </w:rPr>
      </w:pPr>
      <w:r w:rsidRPr="008250EA">
        <w:rPr>
          <w:noProof/>
          <w:lang w:eastAsia="zh-CN"/>
        </w:rPr>
        <w:drawing>
          <wp:inline distT="0" distB="0" distL="0" distR="0" wp14:anchorId="73BF5639" wp14:editId="0E5BAE03">
            <wp:extent cx="5429250" cy="661162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661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33F" w:rsidRDefault="008250EA" w:rsidP="0000133F">
      <w:pPr>
        <w:pStyle w:val="3"/>
        <w:spacing w:before="0"/>
        <w:rPr>
          <w:rFonts w:cs="宋体"/>
          <w:lang w:eastAsia="zh-CN"/>
        </w:rPr>
      </w:pPr>
      <w:r w:rsidRPr="008250EA">
        <w:rPr>
          <w:noProof/>
          <w:lang w:eastAsia="zh-CN"/>
        </w:rPr>
        <w:drawing>
          <wp:inline distT="0" distB="0" distL="0" distR="0" wp14:anchorId="060180F7" wp14:editId="5EBB19F0">
            <wp:extent cx="5429250" cy="1350645"/>
            <wp:effectExtent l="0" t="0" r="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0EA" w:rsidRPr="0000133F" w:rsidRDefault="008250EA" w:rsidP="0000133F">
      <w:pPr>
        <w:pStyle w:val="3"/>
        <w:spacing w:before="0"/>
        <w:rPr>
          <w:rFonts w:cs="宋体"/>
          <w:lang w:eastAsia="zh-CN"/>
        </w:rPr>
      </w:pPr>
      <w:r w:rsidRPr="008250EA">
        <w:rPr>
          <w:rFonts w:cs="宋体"/>
          <w:noProof/>
          <w:lang w:eastAsia="zh-CN"/>
        </w:rPr>
        <w:lastRenderedPageBreak/>
        <w:drawing>
          <wp:inline distT="0" distB="0" distL="0" distR="0" wp14:anchorId="3FFE12CB" wp14:editId="0E496719">
            <wp:extent cx="5429250" cy="12211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7D070F" w:rsidRDefault="007D070F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  <w:r>
        <w:rPr>
          <w:rFonts w:ascii="宋体" w:eastAsia="宋体" w:hAnsi="宋体" w:cs="宋体"/>
          <w:b/>
          <w:bCs/>
          <w:sz w:val="20"/>
          <w:szCs w:val="20"/>
          <w:lang w:eastAsia="zh-CN"/>
        </w:rPr>
        <w:br w:type="page"/>
      </w:r>
    </w:p>
    <w:p w:rsidR="00BD6183" w:rsidRDefault="007D070F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lastRenderedPageBreak/>
        <w:t>城市绿地说明</w:t>
      </w:r>
    </w:p>
    <w:p w:rsidR="00BD6183" w:rsidRDefault="007D070F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  <w:r w:rsidRPr="007D070F">
        <w:rPr>
          <w:rFonts w:ascii="宋体" w:eastAsia="宋体" w:hAnsi="宋体" w:cs="宋体"/>
          <w:b/>
          <w:bCs/>
          <w:noProof/>
          <w:sz w:val="20"/>
          <w:szCs w:val="20"/>
          <w:lang w:eastAsia="zh-CN"/>
        </w:rPr>
        <w:drawing>
          <wp:inline distT="0" distB="0" distL="0" distR="0" wp14:anchorId="3591D8DC" wp14:editId="3747F5D9">
            <wp:extent cx="5429250" cy="6438265"/>
            <wp:effectExtent l="0" t="0" r="0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643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BD6183" w:rsidRPr="00E57C91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281291" w:rsidRDefault="00281291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  <w:r>
        <w:rPr>
          <w:rFonts w:ascii="宋体" w:eastAsia="宋体" w:hAnsi="宋体" w:cs="宋体"/>
          <w:b/>
          <w:bCs/>
          <w:sz w:val="20"/>
          <w:szCs w:val="20"/>
          <w:lang w:eastAsia="zh-CN"/>
        </w:rPr>
        <w:br w:type="page"/>
      </w:r>
    </w:p>
    <w:p w:rsidR="00281291" w:rsidRDefault="00281291" w:rsidP="00281291">
      <w:pPr>
        <w:pStyle w:val="3"/>
        <w:ind w:left="0"/>
        <w:rPr>
          <w:lang w:eastAsia="zh-CN"/>
        </w:rPr>
      </w:pPr>
    </w:p>
    <w:p w:rsidR="00281291" w:rsidRDefault="00281291" w:rsidP="00281291">
      <w:pPr>
        <w:pStyle w:val="3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 w:rsidRPr="00E57C91">
        <w:rPr>
          <w:lang w:eastAsia="zh-CN"/>
        </w:rPr>
        <w:t>：</w:t>
      </w:r>
    </w:p>
    <w:p w:rsidR="00281291" w:rsidRPr="00E57C91" w:rsidRDefault="00281291" w:rsidP="00281291">
      <w:pPr>
        <w:pStyle w:val="3"/>
        <w:ind w:left="338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公共建筑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 w:rsidR="007D070F">
        <w:rPr>
          <w:rFonts w:hint="eastAsia"/>
          <w:lang w:eastAsia="zh-CN"/>
        </w:rPr>
        <w:t>6.2.</w:t>
      </w:r>
      <w:r w:rsidR="007D070F">
        <w:rPr>
          <w:lang w:eastAsia="zh-CN"/>
        </w:rPr>
        <w:t>1</w:t>
      </w:r>
      <w:r>
        <w:rPr>
          <w:lang w:eastAsia="zh-CN"/>
        </w:rPr>
        <w:t>条要求，可得</w:t>
      </w:r>
      <w:r w:rsidR="007D070F">
        <w:rPr>
          <w:lang w:eastAsia="zh-CN"/>
        </w:rPr>
        <w:t>8</w:t>
      </w:r>
      <w:r w:rsidR="007D070F">
        <w:rPr>
          <w:rFonts w:hint="eastAsia"/>
          <w:lang w:eastAsia="zh-CN"/>
        </w:rPr>
        <w:t>分</w:t>
      </w:r>
      <w:r>
        <w:rPr>
          <w:lang w:eastAsia="zh-CN"/>
        </w:rPr>
        <w:t>。</w:t>
      </w:r>
    </w:p>
    <w:p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sectPr w:rsidR="00BD6183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334" w:rsidRDefault="005B2334" w:rsidP="00281291">
      <w:r>
        <w:separator/>
      </w:r>
    </w:p>
  </w:endnote>
  <w:endnote w:type="continuationSeparator" w:id="0">
    <w:p w:rsidR="005B2334" w:rsidRDefault="005B2334" w:rsidP="0028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334" w:rsidRDefault="005B2334" w:rsidP="00281291">
      <w:r>
        <w:separator/>
      </w:r>
    </w:p>
  </w:footnote>
  <w:footnote w:type="continuationSeparator" w:id="0">
    <w:p w:rsidR="005B2334" w:rsidRDefault="005B2334" w:rsidP="00281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183"/>
    <w:rsid w:val="0000133F"/>
    <w:rsid w:val="00142AA0"/>
    <w:rsid w:val="001A3623"/>
    <w:rsid w:val="00281291"/>
    <w:rsid w:val="004B6737"/>
    <w:rsid w:val="004E4702"/>
    <w:rsid w:val="005B2334"/>
    <w:rsid w:val="006D5CF6"/>
    <w:rsid w:val="006D6EF4"/>
    <w:rsid w:val="007D070F"/>
    <w:rsid w:val="008250EA"/>
    <w:rsid w:val="009465EB"/>
    <w:rsid w:val="00BD6183"/>
    <w:rsid w:val="00CC7FC2"/>
    <w:rsid w:val="00E57C91"/>
    <w:rsid w:val="00F4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CECFF"/>
  <w15:docId w15:val="{C2D2F340-72ED-4878-A4BF-04A1F073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858" w:hanging="144"/>
      <w:outlineLvl w:val="0"/>
    </w:pPr>
    <w:rPr>
      <w:rFonts w:ascii="微软雅黑" w:eastAsia="微软雅黑" w:hAnsi="微软雅黑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593"/>
      <w:outlineLvl w:val="1"/>
    </w:pPr>
    <w:rPr>
      <w:rFonts w:ascii="微软雅黑" w:eastAsia="微软雅黑" w:hAnsi="微软雅黑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26"/>
      <w:ind w:left="118"/>
      <w:outlineLvl w:val="2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8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129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812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1291"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946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4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1473">
                  <w:marLeft w:val="0"/>
                  <w:marRight w:val="0"/>
                  <w:marTop w:val="0"/>
                  <w:marBottom w:val="0"/>
                  <w:divBdr>
                    <w:top w:val="single" w:sz="6" w:space="0" w:color="F4F4D3"/>
                    <w:left w:val="single" w:sz="6" w:space="0" w:color="F4F4D3"/>
                    <w:bottom w:val="single" w:sz="6" w:space="0" w:color="F4F4D3"/>
                    <w:right w:val="single" w:sz="6" w:space="0" w:color="F4F4D3"/>
                  </w:divBdr>
                </w:div>
              </w:divsChild>
            </w:div>
          </w:divsChild>
        </w:div>
        <w:div w:id="3772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54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17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82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5948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0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07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7419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8860475">
              <w:marLeft w:val="0"/>
              <w:marRight w:val="0"/>
              <w:marTop w:val="150"/>
              <w:marBottom w:val="0"/>
              <w:divBdr>
                <w:top w:val="single" w:sz="6" w:space="0" w:color="F2F5F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3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3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83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4675">
                              <w:marLeft w:val="225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upa.gbsware.cn/project/ViewPrjMain?clickedPrjID=P000002447&amp;prePage=personalCente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Administrator</cp:lastModifiedBy>
  <cp:revision>4</cp:revision>
  <dcterms:created xsi:type="dcterms:W3CDTF">2022-02-25T08:00:00Z</dcterms:created>
  <dcterms:modified xsi:type="dcterms:W3CDTF">2022-02-25T09:40:00Z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</Properties>
</file>