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Times New Roman"/>
        </w:rPr>
      </w:pPr>
      <w:bookmarkStart w:id="0" w:name="_GoBack"/>
      <w:bookmarkEnd w:id="0"/>
      <w:r>
        <w:rPr>
          <w:rFonts w:cs="Times New Roman"/>
          <w:b/>
          <w:bCs/>
          <w:sz w:val="32"/>
          <w:szCs w:val="28"/>
        </w:rPr>
        <w:t>项目概况</w:t>
      </w:r>
    </w:p>
    <w:p>
      <w:pPr>
        <w:spacing w:line="360" w:lineRule="auto"/>
        <w:rPr>
          <w:rFonts w:cs="Times New Roman"/>
          <w:b/>
          <w:bCs/>
          <w:sz w:val="28"/>
          <w:szCs w:val="24"/>
        </w:rPr>
      </w:pPr>
      <w:r>
        <w:rPr>
          <w:rFonts w:hint="eastAsia" w:cs="Times New Roman"/>
          <w:b/>
          <w:bCs/>
          <w:sz w:val="28"/>
          <w:szCs w:val="24"/>
        </w:rPr>
        <w:t>一、建筑基本信息</w:t>
      </w:r>
    </w:p>
    <w:p>
      <w:pPr>
        <w:spacing w:line="360" w:lineRule="auto"/>
        <w:ind w:firstLine="480" w:firstLineChars="200"/>
        <w:rPr>
          <w:rFonts w:cs="Times New Roman"/>
          <w:color w:val="212529"/>
          <w:shd w:val="clear" w:color="auto" w:fill="FFFFFF"/>
        </w:rPr>
      </w:pPr>
      <w:r>
        <w:rPr>
          <w:rFonts w:cs="Times New Roman"/>
        </w:rPr>
        <w:t>项目选址位于湖南省长沙市天心区长沙理工大学云塘校区</w:t>
      </w:r>
      <w:r>
        <w:rPr>
          <w:rFonts w:hint="eastAsia" w:cs="Times New Roman"/>
        </w:rPr>
        <w:t>，如图1所示，MIMO绿源智慧校园生活圈由新能源大楼-弘毅轩宿舍楼-汀香园食堂三栋建筑组成。</w:t>
      </w:r>
      <w:r>
        <w:rPr>
          <w:rFonts w:cs="Times New Roman"/>
          <w:color w:val="212529"/>
          <w:shd w:val="clear" w:color="auto" w:fill="FFFFFF"/>
        </w:rPr>
        <w:t>地处亚热带季风性湿润气候，具有四季分明，春温多变，夏秋多晴，严冬期短，暑热期长</w:t>
      </w:r>
      <w:r>
        <w:rPr>
          <w:rFonts w:hint="eastAsia" w:cs="Times New Roman"/>
          <w:color w:val="212529"/>
          <w:shd w:val="clear" w:color="auto" w:fill="FFFFFF"/>
        </w:rPr>
        <w:t>等</w:t>
      </w:r>
      <w:r>
        <w:rPr>
          <w:rFonts w:cs="Times New Roman"/>
          <w:color w:val="212529"/>
          <w:shd w:val="clear" w:color="auto" w:fill="FFFFFF"/>
        </w:rPr>
        <w:t>特点，年平均气温16~18℃</w:t>
      </w:r>
      <w:r>
        <w:rPr>
          <w:rFonts w:hint="eastAsia" w:cs="Times New Roman"/>
          <w:color w:val="212529"/>
          <w:shd w:val="clear" w:color="auto" w:fill="FFFFFF"/>
        </w:rPr>
        <w:t>。</w:t>
      </w:r>
    </w:p>
    <w:p>
      <w:pPr>
        <w:spacing w:before="156" w:beforeLines="50" w:after="156" w:afterLines="50" w:line="360" w:lineRule="auto"/>
        <w:jc w:val="center"/>
        <w:rPr>
          <w:rFonts w:cs="Times New Roman"/>
        </w:rPr>
      </w:pPr>
      <w:r>
        <w:rPr>
          <w:rFonts w:hint="eastAsia" w:cs="Times New Roman"/>
        </w:rPr>
        <w:drawing>
          <wp:inline distT="0" distB="0" distL="0" distR="0">
            <wp:extent cx="4679950" cy="4671695"/>
            <wp:effectExtent l="0" t="0" r="635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rcRect l="8443" t="6802" r="7643" b="7595"/>
                    <a:stretch>
                      <a:fillRect/>
                    </a:stretch>
                  </pic:blipFill>
                  <pic:spPr>
                    <a:xfrm>
                      <a:off x="0" y="0"/>
                      <a:ext cx="4679950" cy="4671695"/>
                    </a:xfrm>
                    <a:prstGeom prst="rect">
                      <a:avLst/>
                    </a:prstGeom>
                  </pic:spPr>
                </pic:pic>
              </a:graphicData>
            </a:graphic>
          </wp:inline>
        </w:drawing>
      </w:r>
    </w:p>
    <w:p>
      <w:pPr>
        <w:spacing w:line="360" w:lineRule="auto"/>
        <w:jc w:val="center"/>
        <w:rPr>
          <w:rFonts w:cs="Times New Roman"/>
          <w:sz w:val="21"/>
          <w:szCs w:val="21"/>
        </w:rPr>
      </w:pPr>
      <w:r>
        <w:rPr>
          <w:rFonts w:hint="eastAsia" w:cs="Times New Roman"/>
          <w:sz w:val="21"/>
          <w:szCs w:val="21"/>
        </w:rPr>
        <w:t>图1 区位分析</w:t>
      </w:r>
    </w:p>
    <w:p>
      <w:pPr>
        <w:spacing w:line="360" w:lineRule="auto"/>
        <w:ind w:firstLine="480" w:firstLineChars="200"/>
      </w:pPr>
      <w:r>
        <w:rPr>
          <w:rFonts w:hint="eastAsia"/>
        </w:rPr>
        <w:t>三栋建筑方位分布如图2所示，校园生活圈由三栋功能不同的建筑组成，位于长沙理工大学西部。其中，新能源大楼作为办公实验场所，共五层，占地面积约为3</w:t>
      </w:r>
      <w:r>
        <w:t>668</w:t>
      </w:r>
      <w:r>
        <w:rPr>
          <w:rFonts w:hint="eastAsia"/>
        </w:rPr>
        <w:t xml:space="preserve"> m</w:t>
      </w:r>
      <w:r>
        <w:rPr>
          <w:vertAlign w:val="superscript"/>
        </w:rPr>
        <w:t>2</w:t>
      </w:r>
      <w:r>
        <w:rPr>
          <w:rFonts w:hint="eastAsia"/>
        </w:rPr>
        <w:t>，建筑面积共1</w:t>
      </w:r>
      <w:r>
        <w:t xml:space="preserve">8342 </w:t>
      </w:r>
      <w:r>
        <w:rPr>
          <w:rFonts w:hint="eastAsia"/>
        </w:rPr>
        <w:t>m</w:t>
      </w:r>
      <w:r>
        <w:rPr>
          <w:vertAlign w:val="superscript"/>
        </w:rPr>
        <w:t>2</w:t>
      </w:r>
      <w:r>
        <w:rPr>
          <w:rFonts w:hint="eastAsia"/>
        </w:rPr>
        <w:t>；汀香园食堂作为用餐购物场所，共三层，占地面积约为6</w:t>
      </w:r>
      <w:r>
        <w:t>243</w:t>
      </w:r>
      <w:r>
        <w:rPr>
          <w:rFonts w:hint="eastAsia"/>
        </w:rPr>
        <w:t xml:space="preserve"> m</w:t>
      </w:r>
      <w:r>
        <w:rPr>
          <w:vertAlign w:val="superscript"/>
        </w:rPr>
        <w:t>2</w:t>
      </w:r>
      <w:r>
        <w:rPr>
          <w:rFonts w:hint="eastAsia"/>
        </w:rPr>
        <w:t>，建筑面积共1</w:t>
      </w:r>
      <w:r>
        <w:t xml:space="preserve">8728 </w:t>
      </w:r>
      <w:r>
        <w:rPr>
          <w:rFonts w:hint="eastAsia"/>
        </w:rPr>
        <w:t>m</w:t>
      </w:r>
      <w:r>
        <w:rPr>
          <w:vertAlign w:val="superscript"/>
        </w:rPr>
        <w:t>2</w:t>
      </w:r>
      <w:r>
        <w:rPr>
          <w:rFonts w:hint="eastAsia"/>
        </w:rPr>
        <w:t>；弘毅轩宿舍楼作为休憩安歇场所，共六层，占地面积约为3</w:t>
      </w:r>
      <w:r>
        <w:t>719</w:t>
      </w:r>
      <w:r>
        <w:rPr>
          <w:rFonts w:hint="eastAsia"/>
        </w:rPr>
        <w:t xml:space="preserve"> m</w:t>
      </w:r>
      <w:r>
        <w:rPr>
          <w:vertAlign w:val="superscript"/>
        </w:rPr>
        <w:t>2</w:t>
      </w:r>
      <w:r>
        <w:rPr>
          <w:rFonts w:hint="eastAsia"/>
        </w:rPr>
        <w:t>，建筑面积共2</w:t>
      </w:r>
      <w:r>
        <w:t>2311</w:t>
      </w:r>
      <w:r>
        <w:rPr>
          <w:rFonts w:hint="eastAsia"/>
        </w:rPr>
        <w:t xml:space="preserve"> m</w:t>
      </w:r>
      <w:r>
        <w:rPr>
          <w:vertAlign w:val="superscript"/>
        </w:rPr>
        <w:t>2</w:t>
      </w:r>
      <w:r>
        <w:rPr>
          <w:rFonts w:hint="eastAsia"/>
        </w:rPr>
        <w:t>。三栋功能不同的建筑为师生提供了完整的生活闭环，形成了一个完整的校园生活圈。</w:t>
      </w:r>
    </w:p>
    <w:p>
      <w:pPr>
        <w:spacing w:line="360" w:lineRule="auto"/>
        <w:jc w:val="center"/>
      </w:pPr>
      <w:r>
        <w:rPr>
          <w:rFonts w:hint="eastAsia"/>
        </w:rPr>
        <w:drawing>
          <wp:inline distT="0" distB="0" distL="114300" distR="114300">
            <wp:extent cx="5273040" cy="3430270"/>
            <wp:effectExtent l="0" t="0" r="3810" b="17780"/>
            <wp:docPr id="1" name="图片 1" descr="微信图片_2022010522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105221642"/>
                    <pic:cNvPicPr>
                      <a:picLocks noChangeAspect="1"/>
                    </pic:cNvPicPr>
                  </pic:nvPicPr>
                  <pic:blipFill>
                    <a:blip r:embed="rId5"/>
                    <a:stretch>
                      <a:fillRect/>
                    </a:stretch>
                  </pic:blipFill>
                  <pic:spPr>
                    <a:xfrm>
                      <a:off x="0" y="0"/>
                      <a:ext cx="5273040" cy="3430270"/>
                    </a:xfrm>
                    <a:prstGeom prst="rect">
                      <a:avLst/>
                    </a:prstGeom>
                  </pic:spPr>
                </pic:pic>
              </a:graphicData>
            </a:graphic>
          </wp:inline>
        </w:drawing>
      </w:r>
    </w:p>
    <w:p>
      <w:pPr>
        <w:spacing w:line="360" w:lineRule="auto"/>
        <w:jc w:val="center"/>
        <w:rPr>
          <w:sz w:val="21"/>
          <w:szCs w:val="21"/>
        </w:rPr>
      </w:pPr>
      <w:r>
        <w:rPr>
          <w:rFonts w:hint="eastAsia"/>
          <w:sz w:val="21"/>
          <w:szCs w:val="21"/>
        </w:rPr>
        <w:t>图2 建筑方位图</w:t>
      </w:r>
    </w:p>
    <w:p>
      <w:pPr>
        <w:tabs>
          <w:tab w:val="left" w:pos="2174"/>
        </w:tabs>
        <w:spacing w:line="360" w:lineRule="auto"/>
      </w:pPr>
    </w:p>
    <w:p>
      <w:pPr>
        <w:tabs>
          <w:tab w:val="left" w:pos="2174"/>
        </w:tabs>
        <w:spacing w:line="360" w:lineRule="auto"/>
        <w:rPr>
          <w:b/>
          <w:bCs/>
          <w:sz w:val="28"/>
          <w:szCs w:val="24"/>
        </w:rPr>
      </w:pPr>
      <w:r>
        <w:rPr>
          <w:rFonts w:hint="eastAsia"/>
          <w:b/>
          <w:bCs/>
          <w:sz w:val="28"/>
          <w:szCs w:val="24"/>
        </w:rPr>
        <w:t>二、建筑现状</w:t>
      </w:r>
    </w:p>
    <w:p>
      <w:pPr>
        <w:spacing w:line="360" w:lineRule="auto"/>
      </w:pPr>
      <w:r>
        <w:rPr>
          <w:rFonts w:hint="eastAsia"/>
        </w:rPr>
        <w:t>（1）问卷调查分析</w:t>
      </w:r>
    </w:p>
    <w:p>
      <w:pPr>
        <w:spacing w:line="360" w:lineRule="auto"/>
        <w:ind w:firstLine="480" w:firstLineChars="200"/>
      </w:pPr>
      <w:r>
        <w:rPr>
          <w:rFonts w:hint="eastAsia"/>
        </w:rPr>
        <w:t>对校园生活圈中的三栋建筑，分别设置调查问卷，调查学生和老师对建筑光照、隔音、舒适度等相关的主观感受。</w:t>
      </w:r>
    </w:p>
    <w:p>
      <w:pPr>
        <w:spacing w:line="360" w:lineRule="auto"/>
        <w:ind w:firstLine="480" w:firstLineChars="200"/>
      </w:pPr>
      <w:r>
        <w:rPr>
          <w:rFonts w:hint="eastAsia"/>
        </w:rPr>
        <w:t>由图3可知新能源大楼的问卷调查结果，其中超半数的人员认为大楼采光、热湿环境、空气质量和噪音适中，但有73.60%的人员认为大楼走廊采光不足，47.2%的人员认为空调不运作时楼内热湿环境令人感到不适。</w:t>
      </w:r>
    </w:p>
    <w:p>
      <w:pPr>
        <w:spacing w:line="360" w:lineRule="auto"/>
        <w:rPr>
          <w:rFonts w:cs="Times New Roman"/>
        </w:rPr>
      </w:pPr>
      <w:r>
        <w:rPr>
          <w:rFonts w:hint="eastAsia" w:cs="Times New Roman"/>
        </w:rPr>
        <w:drawing>
          <wp:inline distT="0" distB="0" distL="0" distR="0">
            <wp:extent cx="5274310" cy="1910715"/>
            <wp:effectExtent l="0" t="0" r="254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910715"/>
                    </a:xfrm>
                    <a:prstGeom prst="rect">
                      <a:avLst/>
                    </a:prstGeom>
                  </pic:spPr>
                </pic:pic>
              </a:graphicData>
            </a:graphic>
          </wp:inline>
        </w:drawing>
      </w:r>
    </w:p>
    <w:p>
      <w:pPr>
        <w:spacing w:line="360" w:lineRule="auto"/>
      </w:pPr>
      <w:r>
        <w:rPr>
          <w:rFonts w:hint="eastAsia"/>
        </w:rPr>
        <w:drawing>
          <wp:inline distT="0" distB="0" distL="0" distR="0">
            <wp:extent cx="5274310" cy="1910715"/>
            <wp:effectExtent l="0" t="0" r="254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910715"/>
                    </a:xfrm>
                    <a:prstGeom prst="rect">
                      <a:avLst/>
                    </a:prstGeom>
                  </pic:spPr>
                </pic:pic>
              </a:graphicData>
            </a:graphic>
          </wp:inline>
        </w:drawing>
      </w:r>
    </w:p>
    <w:p>
      <w:pPr>
        <w:spacing w:line="360" w:lineRule="auto"/>
      </w:pPr>
      <w:r>
        <w:rPr>
          <w:rFonts w:hint="eastAsia"/>
        </w:rPr>
        <w:drawing>
          <wp:inline distT="0" distB="0" distL="0" distR="0">
            <wp:extent cx="5274310" cy="1910715"/>
            <wp:effectExtent l="0" t="0" r="254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910715"/>
                    </a:xfrm>
                    <a:prstGeom prst="rect">
                      <a:avLst/>
                    </a:prstGeom>
                  </pic:spPr>
                </pic:pic>
              </a:graphicData>
            </a:graphic>
          </wp:inline>
        </w:drawing>
      </w:r>
    </w:p>
    <w:p>
      <w:pPr>
        <w:spacing w:line="360" w:lineRule="auto"/>
        <w:jc w:val="center"/>
      </w:pPr>
      <w:r>
        <w:rPr>
          <w:rFonts w:hint="eastAsia"/>
        </w:rPr>
        <w:drawing>
          <wp:inline distT="0" distB="0" distL="0" distR="0">
            <wp:extent cx="5274310" cy="1910715"/>
            <wp:effectExtent l="0" t="0" r="254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910715"/>
                    </a:xfrm>
                    <a:prstGeom prst="rect">
                      <a:avLst/>
                    </a:prstGeom>
                  </pic:spPr>
                </pic:pic>
              </a:graphicData>
            </a:graphic>
          </wp:inline>
        </w:drawing>
      </w:r>
    </w:p>
    <w:p>
      <w:pPr>
        <w:spacing w:line="360" w:lineRule="auto"/>
        <w:jc w:val="center"/>
      </w:pPr>
      <w:r>
        <w:rPr>
          <w:rFonts w:hint="eastAsia"/>
          <w:sz w:val="21"/>
          <w:szCs w:val="21"/>
        </w:rPr>
        <w:t>图3 新能源大楼问卷调查结果</w:t>
      </w:r>
    </w:p>
    <w:p>
      <w:pPr>
        <w:spacing w:line="360" w:lineRule="auto"/>
        <w:ind w:firstLine="480" w:firstLineChars="200"/>
      </w:pPr>
      <w:r>
        <w:rPr>
          <w:rFonts w:hint="eastAsia"/>
        </w:rPr>
        <w:t>图4为汀香园食堂的问卷调查结果，其中超半数的人员认为食堂内采光、空气湿度、噪音异味和噪音适中，但认为就餐区采光不足的人员高达80.80%；约30%的人员认为食堂内有点潮湿、有点闷、不透气、受到异味干扰。</w:t>
      </w:r>
    </w:p>
    <w:p>
      <w:pPr>
        <w:spacing w:line="360" w:lineRule="auto"/>
      </w:pPr>
      <w:r>
        <w:drawing>
          <wp:inline distT="0" distB="0" distL="0" distR="0">
            <wp:extent cx="5108575" cy="1731645"/>
            <wp:effectExtent l="0" t="0" r="1587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cstate="print">
                      <a:extLst>
                        <a:ext uri="{28A0092B-C50C-407E-A947-70E740481C1C}">
                          <a14:useLocalDpi xmlns:a14="http://schemas.microsoft.com/office/drawing/2010/main" val="0"/>
                        </a:ext>
                      </a:extLst>
                    </a:blip>
                    <a:srcRect l="1782" t="3323" r="1360" b="6049"/>
                    <a:stretch>
                      <a:fillRect/>
                    </a:stretch>
                  </pic:blipFill>
                  <pic:spPr>
                    <a:xfrm>
                      <a:off x="0" y="0"/>
                      <a:ext cx="5108575" cy="1731645"/>
                    </a:xfrm>
                    <a:prstGeom prst="rect">
                      <a:avLst/>
                    </a:prstGeom>
                  </pic:spPr>
                </pic:pic>
              </a:graphicData>
            </a:graphic>
          </wp:inline>
        </w:drawing>
      </w:r>
      <w:r>
        <w:drawing>
          <wp:inline distT="0" distB="0" distL="0" distR="0">
            <wp:extent cx="5273040" cy="1910715"/>
            <wp:effectExtent l="0" t="0" r="381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488" cy="1910715"/>
                    </a:xfrm>
                    <a:prstGeom prst="rect">
                      <a:avLst/>
                    </a:prstGeom>
                  </pic:spPr>
                </pic:pic>
              </a:graphicData>
            </a:graphic>
          </wp:inline>
        </w:drawing>
      </w:r>
      <w:r>
        <w:drawing>
          <wp:inline distT="0" distB="0" distL="0" distR="0">
            <wp:extent cx="5274310" cy="1910715"/>
            <wp:effectExtent l="0" t="0" r="254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910715"/>
                    </a:xfrm>
                    <a:prstGeom prst="rect">
                      <a:avLst/>
                    </a:prstGeom>
                  </pic:spPr>
                </pic:pic>
              </a:graphicData>
            </a:graphic>
          </wp:inline>
        </w:drawing>
      </w:r>
    </w:p>
    <w:p>
      <w:pPr>
        <w:spacing w:line="360" w:lineRule="auto"/>
        <w:jc w:val="center"/>
      </w:pPr>
      <w:r>
        <w:rPr>
          <w:rFonts w:hint="eastAsia"/>
          <w:sz w:val="21"/>
          <w:szCs w:val="21"/>
        </w:rPr>
        <w:t>图4 汀香园食堂问卷调查结果</w:t>
      </w:r>
    </w:p>
    <w:p>
      <w:pPr>
        <w:spacing w:line="360" w:lineRule="auto"/>
      </w:pPr>
    </w:p>
    <w:p>
      <w:pPr>
        <w:spacing w:line="360" w:lineRule="auto"/>
      </w:pPr>
      <w:r>
        <w:rPr>
          <w:rFonts w:hint="eastAsia"/>
        </w:rPr>
        <w:t>（2）现场测量结果</w:t>
      </w:r>
    </w:p>
    <w:p>
      <w:pPr>
        <w:spacing w:line="360" w:lineRule="auto"/>
        <w:ind w:firstLine="480" w:firstLineChars="200"/>
      </w:pPr>
      <w:r>
        <w:rPr>
          <w:rFonts w:hint="eastAsia"/>
        </w:rPr>
        <w:t>对校园生活圈中的三栋建筑，选择多个测点，分别对照度、CO</w:t>
      </w:r>
      <w:r>
        <w:rPr>
          <w:rFonts w:hint="eastAsia"/>
          <w:vertAlign w:val="subscript"/>
        </w:rPr>
        <w:t>2</w:t>
      </w:r>
      <w:r>
        <w:rPr>
          <w:rFonts w:hint="eastAsia"/>
        </w:rPr>
        <w:t>浓度、温度、相对湿度等进行测量。</w:t>
      </w:r>
    </w:p>
    <w:p>
      <w:pPr>
        <w:spacing w:line="360" w:lineRule="auto"/>
        <w:ind w:firstLine="480" w:firstLineChars="200"/>
      </w:pPr>
      <w:r>
        <w:rPr>
          <w:rFonts w:hint="eastAsia"/>
        </w:rPr>
        <w:t>新能源大楼现场测量数据如图5所示，由图可知，在大楼不开灯时间段室内整体亮度较低，低楼层采光不足的现象相对高楼层更加严重；随着白天大楼办公时间的增长以及人员的增多，大楼内的CO</w:t>
      </w:r>
      <w:r>
        <w:rPr>
          <w:rFonts w:hint="eastAsia"/>
          <w:vertAlign w:val="subscript"/>
        </w:rPr>
        <w:t>2</w:t>
      </w:r>
      <w:r>
        <w:rPr>
          <w:rFonts w:hint="eastAsia"/>
        </w:rPr>
        <w:t>浓度呈现一个缓慢上升的趋势，但所测得的三组不同区域的数据中，均值分别为</w:t>
      </w:r>
      <w:r>
        <w:t>658.9ppm</w:t>
      </w:r>
      <w:r>
        <w:rPr>
          <w:rFonts w:hint="eastAsia"/>
        </w:rPr>
        <w:t>、6</w:t>
      </w:r>
      <w:r>
        <w:t>61.1ppm</w:t>
      </w:r>
      <w:r>
        <w:rPr>
          <w:rFonts w:hint="eastAsia"/>
        </w:rPr>
        <w:t>、7</w:t>
      </w:r>
      <w:r>
        <w:t>07.9ppm</w:t>
      </w:r>
      <w:r>
        <w:rPr>
          <w:rFonts w:hint="eastAsia"/>
        </w:rPr>
        <w:t>；最大值分别为7</w:t>
      </w:r>
      <w:r>
        <w:t>49.7ppm</w:t>
      </w:r>
      <w:r>
        <w:rPr>
          <w:rFonts w:hint="eastAsia"/>
        </w:rPr>
        <w:t>、7</w:t>
      </w:r>
      <w:r>
        <w:t>33.7ppm</w:t>
      </w:r>
      <w:r>
        <w:rPr>
          <w:rFonts w:hint="eastAsia"/>
        </w:rPr>
        <w:t>、7</w:t>
      </w:r>
      <w:r>
        <w:t>85ppm</w:t>
      </w:r>
      <w:r>
        <w:rPr>
          <w:rFonts w:hint="eastAsia"/>
        </w:rPr>
        <w:t>，均小于1</w:t>
      </w:r>
      <w:r>
        <w:t>000ppm</w:t>
      </w:r>
      <w:r>
        <w:rPr>
          <w:rFonts w:hint="eastAsia"/>
        </w:rPr>
        <w:t>，符合G</w:t>
      </w:r>
      <w:r>
        <w:t>B 18883-2016</w:t>
      </w:r>
      <w:r>
        <w:rPr>
          <w:rFonts w:hint="eastAsia"/>
        </w:rPr>
        <w:t>《室内空气质量标准》；大楼整体噪音低于60分贝，五楼由于存在较多会议室，因此相对于其他楼层噪音稍高。</w:t>
      </w:r>
    </w:p>
    <w:p>
      <w:pPr>
        <w:spacing w:line="360" w:lineRule="auto"/>
        <w:jc w:val="center"/>
      </w:pPr>
      <w:r>
        <w:drawing>
          <wp:inline distT="0" distB="0" distL="114300" distR="114300">
            <wp:extent cx="2520315" cy="2291715"/>
            <wp:effectExtent l="0" t="0" r="13335" b="1333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3"/>
                    <a:srcRect l="6192" t="9105" r="9478" b="6251"/>
                    <a:stretch>
                      <a:fillRect/>
                    </a:stretch>
                  </pic:blipFill>
                  <pic:spPr>
                    <a:xfrm>
                      <a:off x="0" y="0"/>
                      <a:ext cx="2520315" cy="2291715"/>
                    </a:xfrm>
                    <a:prstGeom prst="rect">
                      <a:avLst/>
                    </a:prstGeom>
                    <a:noFill/>
                    <a:ln>
                      <a:noFill/>
                    </a:ln>
                  </pic:spPr>
                </pic:pic>
              </a:graphicData>
            </a:graphic>
          </wp:inline>
        </w:drawing>
      </w:r>
      <w:r>
        <w:drawing>
          <wp:inline distT="0" distB="0" distL="114300" distR="114300">
            <wp:extent cx="2520315" cy="2317115"/>
            <wp:effectExtent l="0" t="0" r="0" b="698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4"/>
                    <a:srcRect l="6694" t="9028" r="8109"/>
                    <a:stretch>
                      <a:fillRect/>
                    </a:stretch>
                  </pic:blipFill>
                  <pic:spPr>
                    <a:xfrm>
                      <a:off x="0" y="0"/>
                      <a:ext cx="2520315" cy="2317115"/>
                    </a:xfrm>
                    <a:prstGeom prst="rect">
                      <a:avLst/>
                    </a:prstGeom>
                    <a:noFill/>
                    <a:ln>
                      <a:noFill/>
                    </a:ln>
                  </pic:spPr>
                </pic:pic>
              </a:graphicData>
            </a:graphic>
          </wp:inline>
        </w:drawing>
      </w:r>
    </w:p>
    <w:p>
      <w:pPr>
        <w:spacing w:line="360" w:lineRule="auto"/>
        <w:jc w:val="center"/>
      </w:pPr>
      <w:r>
        <w:rPr>
          <w:rFonts w:hint="eastAsia"/>
          <w:sz w:val="21"/>
          <w:szCs w:val="21"/>
        </w:rPr>
        <w:t>图5 新能源大楼现场测量数据</w:t>
      </w:r>
    </w:p>
    <w:p>
      <w:pPr>
        <w:spacing w:line="360" w:lineRule="auto"/>
        <w:ind w:firstLine="480" w:firstLineChars="200"/>
      </w:pPr>
      <w:r>
        <w:rPr>
          <w:rFonts w:hint="eastAsia"/>
        </w:rPr>
        <w:t>汀香园食堂现场测量数据如图6所示。由图可知，一楼中庭的亮度呈陡崖式提高而其他测试点的照度均小于500LUX；在人员较密集的就餐区、收餐区，湿度温度以及CO</w:t>
      </w:r>
      <w:r>
        <w:rPr>
          <w:rFonts w:hint="eastAsia"/>
          <w:vertAlign w:val="subscript"/>
        </w:rPr>
        <w:t>2</w:t>
      </w:r>
      <w:r>
        <w:rPr>
          <w:rFonts w:hint="eastAsia"/>
        </w:rPr>
        <w:t>浓度均有一定幅度的上升，CO</w:t>
      </w:r>
      <w:r>
        <w:rPr>
          <w:rFonts w:hint="eastAsia"/>
          <w:vertAlign w:val="subscript"/>
        </w:rPr>
        <w:t>2</w:t>
      </w:r>
      <w:r>
        <w:rPr>
          <w:rFonts w:hint="eastAsia"/>
        </w:rPr>
        <w:t>浓度最高达到了1050ppm超过了标准规定的1000ppm。</w:t>
      </w:r>
    </w:p>
    <w:p>
      <w:pPr>
        <w:spacing w:line="360" w:lineRule="auto"/>
        <w:jc w:val="center"/>
      </w:pPr>
      <w:r>
        <w:drawing>
          <wp:inline distT="0" distB="0" distL="114300" distR="114300">
            <wp:extent cx="2520315" cy="2550795"/>
            <wp:effectExtent l="0" t="0" r="13335"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5"/>
                    <a:srcRect l="9169" t="9867" r="12474"/>
                    <a:stretch>
                      <a:fillRect/>
                    </a:stretch>
                  </pic:blipFill>
                  <pic:spPr>
                    <a:xfrm>
                      <a:off x="0" y="0"/>
                      <a:ext cx="2520315" cy="2550795"/>
                    </a:xfrm>
                    <a:prstGeom prst="rect">
                      <a:avLst/>
                    </a:prstGeom>
                    <a:noFill/>
                    <a:ln>
                      <a:noFill/>
                    </a:ln>
                  </pic:spPr>
                </pic:pic>
              </a:graphicData>
            </a:graphic>
          </wp:inline>
        </w:drawing>
      </w:r>
      <w:r>
        <w:drawing>
          <wp:inline distT="0" distB="0" distL="114300" distR="114300">
            <wp:extent cx="2520315" cy="2548255"/>
            <wp:effectExtent l="0" t="0" r="1333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6"/>
                    <a:srcRect l="6527" t="8027" r="9189"/>
                    <a:stretch>
                      <a:fillRect/>
                    </a:stretch>
                  </pic:blipFill>
                  <pic:spPr>
                    <a:xfrm>
                      <a:off x="0" y="0"/>
                      <a:ext cx="2520315" cy="2548255"/>
                    </a:xfrm>
                    <a:prstGeom prst="rect">
                      <a:avLst/>
                    </a:prstGeom>
                    <a:noFill/>
                    <a:ln>
                      <a:noFill/>
                    </a:ln>
                  </pic:spPr>
                </pic:pic>
              </a:graphicData>
            </a:graphic>
          </wp:inline>
        </w:drawing>
      </w:r>
    </w:p>
    <w:p>
      <w:pPr>
        <w:spacing w:line="360" w:lineRule="auto"/>
        <w:jc w:val="center"/>
      </w:pPr>
      <w:r>
        <w:rPr>
          <w:rFonts w:hint="eastAsia"/>
          <w:sz w:val="21"/>
          <w:szCs w:val="21"/>
        </w:rPr>
        <w:t>图6 汀香园食堂现场测量数据</w:t>
      </w:r>
    </w:p>
    <w:p>
      <w:pPr>
        <w:spacing w:line="360" w:lineRule="auto"/>
        <w:ind w:firstLine="480" w:firstLineChars="200"/>
      </w:pPr>
      <w:r>
        <w:rPr>
          <w:rFonts w:hint="eastAsia"/>
        </w:rPr>
        <w:t>弘毅轩宿舍现场测量数据如图7所示，由图可知，宿舍楼整体照度较低，最高只有27LUX；由于宿舍人员密集，故CO</w:t>
      </w:r>
      <w:r>
        <w:rPr>
          <w:rFonts w:hint="eastAsia"/>
          <w:vertAlign w:val="subscript"/>
        </w:rPr>
        <w:t>2</w:t>
      </w:r>
      <w:r>
        <w:rPr>
          <w:rFonts w:hint="eastAsia"/>
        </w:rPr>
        <w:t>浓度较高，最高达到了1085ppm，超过我国现行的G</w:t>
      </w:r>
      <w:r>
        <w:t>B 18883-2016</w:t>
      </w:r>
      <w:r>
        <w:rPr>
          <w:rFonts w:hint="eastAsia"/>
        </w:rPr>
        <w:t>《室内空气质量标准》规定的室内C</w:t>
      </w:r>
      <w:r>
        <w:t>O</w:t>
      </w:r>
      <w:r>
        <w:rPr>
          <w:vertAlign w:val="subscript"/>
        </w:rPr>
        <w:t>2</w:t>
      </w:r>
      <w:r>
        <w:rPr>
          <w:rFonts w:hint="eastAsia"/>
        </w:rPr>
        <w:t>浓度日均值1</w:t>
      </w:r>
      <w:r>
        <w:t>000ppm</w:t>
      </w:r>
      <w:r>
        <w:rPr>
          <w:rFonts w:hint="eastAsia"/>
        </w:rPr>
        <w:t>。</w:t>
      </w:r>
    </w:p>
    <w:p>
      <w:pPr>
        <w:spacing w:line="360" w:lineRule="auto"/>
        <w:jc w:val="center"/>
      </w:pPr>
      <w:r>
        <w:drawing>
          <wp:inline distT="0" distB="0" distL="114300" distR="114300">
            <wp:extent cx="2520315" cy="2298065"/>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rcRect l="10481" t="8669" r="10632"/>
                    <a:stretch>
                      <a:fillRect/>
                    </a:stretch>
                  </pic:blipFill>
                  <pic:spPr>
                    <a:xfrm>
                      <a:off x="0" y="0"/>
                      <a:ext cx="2520315" cy="2298065"/>
                    </a:xfrm>
                    <a:prstGeom prst="rect">
                      <a:avLst/>
                    </a:prstGeom>
                    <a:noFill/>
                    <a:ln>
                      <a:noFill/>
                    </a:ln>
                  </pic:spPr>
                </pic:pic>
              </a:graphicData>
            </a:graphic>
          </wp:inline>
        </w:drawing>
      </w:r>
      <w:r>
        <w:drawing>
          <wp:inline distT="0" distB="0" distL="114300" distR="114300">
            <wp:extent cx="2520315" cy="2114550"/>
            <wp:effectExtent l="0" t="0" r="0"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8"/>
                    <a:srcRect l="5705" t="9358" r="8763"/>
                    <a:stretch>
                      <a:fillRect/>
                    </a:stretch>
                  </pic:blipFill>
                  <pic:spPr>
                    <a:xfrm>
                      <a:off x="0" y="0"/>
                      <a:ext cx="2520315" cy="2114550"/>
                    </a:xfrm>
                    <a:prstGeom prst="rect">
                      <a:avLst/>
                    </a:prstGeom>
                    <a:noFill/>
                    <a:ln>
                      <a:noFill/>
                    </a:ln>
                  </pic:spPr>
                </pic:pic>
              </a:graphicData>
            </a:graphic>
          </wp:inline>
        </w:drawing>
      </w:r>
    </w:p>
    <w:p>
      <w:pPr>
        <w:spacing w:line="360" w:lineRule="auto"/>
        <w:jc w:val="center"/>
      </w:pPr>
      <w:r>
        <w:rPr>
          <w:rFonts w:hint="eastAsia"/>
          <w:sz w:val="21"/>
          <w:szCs w:val="21"/>
        </w:rPr>
        <w:t>图7 弘毅轩宿舍现场测量数据</w:t>
      </w:r>
    </w:p>
    <w:p>
      <w:pPr>
        <w:spacing w:line="360" w:lineRule="auto"/>
        <w:ind w:firstLine="480" w:firstLineChars="200"/>
      </w:pPr>
      <w:r>
        <w:rPr>
          <w:rFonts w:hint="eastAsia"/>
        </w:rPr>
        <w:t>综上所述，校园生活圈存在以下问题：1.新能源大楼进深较大，功能空间分布在长走廊两侧，导致两侧房间空间采光较好但走廊长时间昏暗，自然光利用率较低且走廊长时间开灯，浪费电力资源；2.汀香园食堂面积较大但采光分布极不均匀，中间空间由于中庭的存在采光过剩，四周购餐就餐区则十分昏暗，此外食堂由于存在厨余垃圾，极易出现异味造成师生不适；3.弘毅轩宿舍由于人员密度较大，宿舍内部的通风换气效果不好；4.三栋建筑在夏季制冷和冬季供暖方面都存在达不到舒适温度时间，且制冷供暖系统未考虑建筑不同功能需要。</w:t>
      </w:r>
    </w:p>
    <w:p>
      <w:pPr>
        <w:tabs>
          <w:tab w:val="left" w:pos="2174"/>
        </w:tabs>
        <w:spacing w:line="360" w:lineRule="auto"/>
        <w:rPr>
          <w:b/>
          <w:bCs/>
          <w:sz w:val="28"/>
          <w:szCs w:val="24"/>
        </w:rPr>
      </w:pPr>
      <w:r>
        <w:rPr>
          <w:rFonts w:hint="eastAsia"/>
          <w:b/>
          <w:bCs/>
          <w:sz w:val="28"/>
          <w:szCs w:val="24"/>
        </w:rPr>
        <w:t>三、优化措施</w:t>
      </w:r>
    </w:p>
    <w:p>
      <w:pPr>
        <w:spacing w:line="360" w:lineRule="auto"/>
      </w:pPr>
      <w:r>
        <w:rPr>
          <w:rFonts w:hint="eastAsia"/>
        </w:rPr>
        <w:t>（1）增加被动性绿色建筑技术，减少“风光热”的主动需求，通过新型技术，充分利用自然能源，注重资源回收利用，如调整窗墙比、围护结构材料、照明设备以及增加外遮阳等工程构造，从而改善建筑热舒适性能，降低建筑能耗。</w:t>
      </w:r>
    </w:p>
    <w:p>
      <w:pPr>
        <w:spacing w:line="360" w:lineRule="auto"/>
      </w:pPr>
      <w:r>
        <w:rPr>
          <w:rFonts w:hint="eastAsia"/>
        </w:rPr>
        <w:t>（2）在满足局部照度的条件下，采用可调节亮度和色温的灯具；根据不同功能区的需要利用光导管，将采光过剩的西侧、天庭引导反射到采光不足的走廊、就餐区，在不增大电能消耗的同时满足照度需求。</w:t>
      </w:r>
    </w:p>
    <w:p>
      <w:pPr>
        <w:spacing w:line="360" w:lineRule="auto"/>
      </w:pPr>
      <w:r>
        <w:rPr>
          <w:rFonts w:hint="eastAsia"/>
        </w:rPr>
        <w:t>（3）建筑周围增设绿植，扩大绿植覆盖率，增加绿荫活动面积，同时有效改善校园生活圈空气质量。</w:t>
      </w:r>
    </w:p>
    <w:p>
      <w:pPr>
        <w:spacing w:line="360" w:lineRule="auto"/>
      </w:pPr>
      <w:r>
        <w:rPr>
          <w:rFonts w:hint="eastAsia"/>
        </w:rPr>
        <w:t>（3）建筑屋顶铺设光伏板与太阳能集热器，利用蓄电池和蓄热水箱将收集到的电能和热能进行储存，最大程度利用太阳能，根据建筑负荷需求实时进行能源分配，通过自动控制机房统一调控。</w:t>
      </w:r>
    </w:p>
    <w:p>
      <w:pPr>
        <w:spacing w:line="360" w:lineRule="auto"/>
      </w:pPr>
      <w:r>
        <w:rPr>
          <w:rFonts w:hint="eastAsia"/>
        </w:rPr>
        <w:t>（4）利用光伏板光能发电，太阳能集热器作为热源设备；地源热泵作为主要冷源设备，多种冷热源设备协调配合工作，在满足各建筑负荷要求的基础上最大程度节约能耗。</w:t>
      </w:r>
    </w:p>
    <w:p>
      <w:pPr>
        <w:spacing w:line="360" w:lineRule="auto"/>
        <w:jc w:val="center"/>
      </w:pPr>
      <w:r>
        <w:rPr>
          <w:rFonts w:hint="eastAsia"/>
        </w:rPr>
        <w:drawing>
          <wp:inline distT="0" distB="0" distL="114300" distR="114300">
            <wp:extent cx="3599815" cy="2025015"/>
            <wp:effectExtent l="0" t="0" r="635" b="13335"/>
            <wp:docPr id="3" name="图片 3" descr="光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光伏"/>
                    <pic:cNvPicPr>
                      <a:picLocks noChangeAspect="1"/>
                    </pic:cNvPicPr>
                  </pic:nvPicPr>
                  <pic:blipFill>
                    <a:blip r:embed="rId19"/>
                    <a:srcRect l="297" t="9064" r="485" b="8763"/>
                    <a:stretch>
                      <a:fillRect/>
                    </a:stretch>
                  </pic:blipFill>
                  <pic:spPr>
                    <a:xfrm>
                      <a:off x="0" y="0"/>
                      <a:ext cx="3599815" cy="2025015"/>
                    </a:xfrm>
                    <a:prstGeom prst="rect">
                      <a:avLst/>
                    </a:prstGeom>
                  </pic:spPr>
                </pic:pic>
              </a:graphicData>
            </a:graphic>
          </wp:inline>
        </w:drawing>
      </w:r>
    </w:p>
    <w:p>
      <w:pPr>
        <w:spacing w:line="360" w:lineRule="auto"/>
        <w:jc w:val="center"/>
      </w:pPr>
      <w:r>
        <w:rPr>
          <w:rFonts w:hint="eastAsia"/>
          <w:sz w:val="21"/>
          <w:szCs w:val="21"/>
        </w:rPr>
        <w:t xml:space="preserve">图8 热源及制热流程图 </w:t>
      </w:r>
    </w:p>
    <w:p>
      <w:pPr>
        <w:spacing w:line="360" w:lineRule="auto"/>
        <w:jc w:val="center"/>
      </w:pPr>
      <w:r>
        <w:drawing>
          <wp:inline distT="0" distB="0" distL="114300" distR="114300">
            <wp:extent cx="3599815" cy="1657985"/>
            <wp:effectExtent l="0" t="0" r="635" b="18415"/>
            <wp:docPr id="6" name="图片 6" descr="地源热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地源热泵"/>
                    <pic:cNvPicPr>
                      <a:picLocks noChangeAspect="1"/>
                    </pic:cNvPicPr>
                  </pic:nvPicPr>
                  <pic:blipFill>
                    <a:blip r:embed="rId20"/>
                    <a:srcRect t="20800" r="-60" b="17148"/>
                    <a:stretch>
                      <a:fillRect/>
                    </a:stretch>
                  </pic:blipFill>
                  <pic:spPr>
                    <a:xfrm>
                      <a:off x="0" y="0"/>
                      <a:ext cx="3599815" cy="1657985"/>
                    </a:xfrm>
                    <a:prstGeom prst="rect">
                      <a:avLst/>
                    </a:prstGeom>
                  </pic:spPr>
                </pic:pic>
              </a:graphicData>
            </a:graphic>
          </wp:inline>
        </w:drawing>
      </w:r>
    </w:p>
    <w:p>
      <w:pPr>
        <w:spacing w:line="360" w:lineRule="auto"/>
        <w:jc w:val="center"/>
        <w:rPr>
          <w:sz w:val="21"/>
          <w:szCs w:val="21"/>
        </w:rPr>
      </w:pPr>
      <w:r>
        <w:rPr>
          <w:rFonts w:hint="eastAsia"/>
          <w:sz w:val="21"/>
          <w:szCs w:val="21"/>
        </w:rPr>
        <w:t>图9 冷源及制冷流程</w:t>
      </w:r>
    </w:p>
    <w:p>
      <w:pPr>
        <w:spacing w:line="360" w:lineRule="auto"/>
        <w:rPr>
          <w:color w:val="FF0000"/>
        </w:rPr>
      </w:pPr>
      <w:r>
        <w:rPr>
          <w:rFonts w:hint="eastAsia"/>
        </w:rPr>
        <w:t>（</w:t>
      </w:r>
      <w:r>
        <w:t>6</w:t>
      </w:r>
      <w:r>
        <w:rPr>
          <w:rFonts w:hint="eastAsia"/>
        </w:rPr>
        <w:t>）新能源大楼、汀香园食堂和弘毅轩宿舍有明显的负荷错峰，因此根据不同建筑功能需求，通过自动控制智慧能源系统将能源分时合理分配，提高能源利用效率。</w:t>
      </w:r>
    </w:p>
    <w:p>
      <w:pPr>
        <w:tabs>
          <w:tab w:val="left" w:pos="6960"/>
        </w:tabs>
        <w:spacing w:line="360" w:lineRule="auto"/>
        <w:jc w:val="center"/>
      </w:pPr>
      <w:r>
        <w:drawing>
          <wp:inline distT="0" distB="0" distL="114300" distR="114300">
            <wp:extent cx="3609975" cy="2518410"/>
            <wp:effectExtent l="0" t="0" r="9525"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1"/>
                    <a:srcRect l="4458" t="7972" r="9052" b="5641"/>
                    <a:stretch>
                      <a:fillRect/>
                    </a:stretch>
                  </pic:blipFill>
                  <pic:spPr>
                    <a:xfrm>
                      <a:off x="0" y="0"/>
                      <a:ext cx="3609975" cy="2518410"/>
                    </a:xfrm>
                    <a:prstGeom prst="rect">
                      <a:avLst/>
                    </a:prstGeom>
                    <a:noFill/>
                    <a:ln>
                      <a:noFill/>
                    </a:ln>
                  </pic:spPr>
                </pic:pic>
              </a:graphicData>
            </a:graphic>
          </wp:inline>
        </w:drawing>
      </w:r>
    </w:p>
    <w:p>
      <w:pPr>
        <w:tabs>
          <w:tab w:val="left" w:pos="6960"/>
        </w:tabs>
        <w:spacing w:line="360" w:lineRule="auto"/>
        <w:jc w:val="center"/>
      </w:pPr>
      <w:r>
        <w:rPr>
          <w:rFonts w:hint="eastAsia"/>
          <w:sz w:val="21"/>
          <w:szCs w:val="21"/>
        </w:rPr>
        <w:t>图10 供冷期典型日冷负荷变化</w:t>
      </w:r>
    </w:p>
    <w:p>
      <w:pPr>
        <w:tabs>
          <w:tab w:val="left" w:pos="6960"/>
        </w:tabs>
        <w:spacing w:line="360" w:lineRule="auto"/>
        <w:jc w:val="center"/>
      </w:pPr>
      <w:r>
        <w:drawing>
          <wp:inline distT="0" distB="0" distL="114300" distR="114300">
            <wp:extent cx="3517265" cy="2524125"/>
            <wp:effectExtent l="0" t="0" r="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2"/>
                    <a:srcRect l="7546" t="8342" r="8185" b="5075"/>
                    <a:stretch>
                      <a:fillRect/>
                    </a:stretch>
                  </pic:blipFill>
                  <pic:spPr>
                    <a:xfrm>
                      <a:off x="0" y="0"/>
                      <a:ext cx="3517265" cy="2524125"/>
                    </a:xfrm>
                    <a:prstGeom prst="rect">
                      <a:avLst/>
                    </a:prstGeom>
                    <a:noFill/>
                    <a:ln>
                      <a:noFill/>
                    </a:ln>
                  </pic:spPr>
                </pic:pic>
              </a:graphicData>
            </a:graphic>
          </wp:inline>
        </w:drawing>
      </w:r>
    </w:p>
    <w:p>
      <w:pPr>
        <w:spacing w:line="360" w:lineRule="auto"/>
        <w:jc w:val="center"/>
      </w:pPr>
      <w:r>
        <w:rPr>
          <w:rFonts w:hint="eastAsia"/>
          <w:sz w:val="21"/>
          <w:szCs w:val="21"/>
        </w:rPr>
        <w:t xml:space="preserve"> 图11 供暖期典型日热负荷变化</w:t>
      </w:r>
    </w:p>
    <w:p>
      <w:pPr>
        <w:spacing w:line="360" w:lineRule="auto"/>
      </w:pPr>
      <w:r>
        <w:rPr>
          <w:rFonts w:hint="eastAsia"/>
        </w:rPr>
        <w:t>（</w:t>
      </w:r>
      <w:r>
        <w:t>7</w:t>
      </w:r>
      <w:r>
        <w:rPr>
          <w:rFonts w:hint="eastAsia"/>
        </w:rPr>
        <w:t>）将新能源大楼原有的分体式空调改为风机盘管+新风空调系统，食堂原有的分体式+风机盘管空调系统改为全空气空调系统，提高建筑室内空气品质。</w:t>
      </w:r>
    </w:p>
    <w:p>
      <w:pPr>
        <w:tabs>
          <w:tab w:val="left" w:pos="2174"/>
        </w:tabs>
        <w:spacing w:line="360" w:lineRule="auto"/>
        <w:rPr>
          <w:b/>
          <w:bCs/>
          <w:sz w:val="28"/>
          <w:szCs w:val="24"/>
        </w:rPr>
      </w:pPr>
      <w:r>
        <w:rPr>
          <w:rFonts w:hint="eastAsia"/>
          <w:b/>
          <w:bCs/>
          <w:sz w:val="28"/>
          <w:szCs w:val="24"/>
        </w:rPr>
        <w:t>四、优化后效果</w:t>
      </w:r>
    </w:p>
    <w:p>
      <w:pPr>
        <w:tabs>
          <w:tab w:val="left" w:pos="2174"/>
        </w:tabs>
        <w:spacing w:line="360" w:lineRule="auto"/>
        <w:rPr>
          <w:rFonts w:cs="Times New Roman"/>
        </w:rPr>
      </w:pPr>
      <w:r>
        <w:rPr>
          <w:rFonts w:hint="eastAsia" w:cs="Times New Roman"/>
        </w:rPr>
        <w:t>（1）由表1可知，经过对原建筑进行一系列工程改造之后，三栋建筑的综合权衡判断结论为满足。</w:t>
      </w:r>
    </w:p>
    <w:p>
      <w:pPr>
        <w:tabs>
          <w:tab w:val="left" w:pos="2174"/>
        </w:tabs>
        <w:spacing w:line="360" w:lineRule="auto"/>
        <w:jc w:val="center"/>
        <w:rPr>
          <w:rFonts w:cs="Times New Roman"/>
          <w:b/>
          <w:bCs/>
        </w:rPr>
      </w:pPr>
      <w:r>
        <w:rPr>
          <w:rFonts w:hint="eastAsia"/>
          <w:b/>
          <w:bCs/>
          <w:sz w:val="21"/>
          <w:szCs w:val="21"/>
        </w:rPr>
        <w:t>表1 三栋建筑综合权衡判断结论</w:t>
      </w:r>
    </w:p>
    <w:tbl>
      <w:tblPr>
        <w:tblStyle w:val="4"/>
        <w:tblW w:w="8278"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3"/>
        <w:gridCol w:w="3610"/>
        <w:gridCol w:w="366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003" w:type="dxa"/>
            <w:tcBorders>
              <w:bottom w:val="single" w:color="000000" w:sz="6" w:space="0"/>
            </w:tcBorders>
            <w:shd w:val="clear" w:color="auto" w:fill="FFFFFF" w:themeFill="background1"/>
            <w:vAlign w:val="center"/>
          </w:tcPr>
          <w:p>
            <w:pPr>
              <w:spacing w:line="360" w:lineRule="auto"/>
              <w:jc w:val="center"/>
              <w:rPr>
                <w:sz w:val="21"/>
                <w:szCs w:val="21"/>
              </w:rPr>
            </w:pPr>
            <w:r>
              <w:rPr>
                <w:sz w:val="21"/>
                <w:szCs w:val="21"/>
              </w:rPr>
              <w:t>序号</w:t>
            </w:r>
          </w:p>
        </w:tc>
        <w:tc>
          <w:tcPr>
            <w:tcW w:w="3610" w:type="dxa"/>
            <w:tcBorders>
              <w:bottom w:val="single" w:color="000000" w:sz="6" w:space="0"/>
            </w:tcBorders>
            <w:shd w:val="clear" w:color="auto" w:fill="FFFFFF" w:themeFill="background1"/>
            <w:vAlign w:val="center"/>
          </w:tcPr>
          <w:p>
            <w:pPr>
              <w:spacing w:line="360" w:lineRule="auto"/>
              <w:jc w:val="center"/>
              <w:rPr>
                <w:sz w:val="21"/>
                <w:szCs w:val="21"/>
              </w:rPr>
            </w:pPr>
            <w:r>
              <w:rPr>
                <w:sz w:val="21"/>
                <w:szCs w:val="21"/>
              </w:rPr>
              <w:t>检查项</w:t>
            </w:r>
          </w:p>
        </w:tc>
        <w:tc>
          <w:tcPr>
            <w:tcW w:w="3665" w:type="dxa"/>
            <w:tcBorders>
              <w:bottom w:val="single" w:color="000000" w:sz="6" w:space="0"/>
            </w:tcBorders>
            <w:shd w:val="clear" w:color="auto" w:fill="FFFFFF" w:themeFill="background1"/>
            <w:vAlign w:val="center"/>
          </w:tcPr>
          <w:p>
            <w:pPr>
              <w:spacing w:line="360" w:lineRule="auto"/>
              <w:jc w:val="center"/>
              <w:rPr>
                <w:sz w:val="21"/>
                <w:szCs w:val="21"/>
              </w:rPr>
            </w:pPr>
            <w:r>
              <w:rPr>
                <w:sz w:val="21"/>
                <w:szCs w:val="21"/>
              </w:rPr>
              <w:t>结论</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03" w:type="dxa"/>
            <w:tcBorders>
              <w:top w:val="single" w:color="000000" w:sz="6" w:space="0"/>
              <w:tl2br w:val="nil"/>
              <w:tr2bl w:val="nil"/>
            </w:tcBorders>
            <w:shd w:val="clear" w:color="auto" w:fill="FFFFFF" w:themeFill="background1"/>
            <w:vAlign w:val="center"/>
          </w:tcPr>
          <w:p>
            <w:pPr>
              <w:spacing w:line="360" w:lineRule="auto"/>
              <w:jc w:val="center"/>
              <w:rPr>
                <w:sz w:val="21"/>
                <w:szCs w:val="21"/>
              </w:rPr>
            </w:pPr>
            <w:r>
              <w:rPr>
                <w:sz w:val="21"/>
                <w:szCs w:val="21"/>
              </w:rPr>
              <w:t>1</w:t>
            </w:r>
          </w:p>
        </w:tc>
        <w:tc>
          <w:tcPr>
            <w:tcW w:w="3610" w:type="dxa"/>
            <w:tcBorders>
              <w:top w:val="single" w:color="000000" w:sz="6" w:space="0"/>
              <w:tl2br w:val="nil"/>
              <w:tr2bl w:val="nil"/>
            </w:tcBorders>
            <w:shd w:val="clear" w:color="auto" w:fill="FFFFFF" w:themeFill="background1"/>
            <w:vAlign w:val="center"/>
          </w:tcPr>
          <w:p>
            <w:pPr>
              <w:spacing w:line="360" w:lineRule="auto"/>
              <w:jc w:val="center"/>
              <w:rPr>
                <w:sz w:val="21"/>
                <w:szCs w:val="21"/>
              </w:rPr>
            </w:pPr>
            <w:r>
              <w:rPr>
                <w:sz w:val="21"/>
                <w:szCs w:val="21"/>
              </w:rPr>
              <w:t>屋顶构造</w:t>
            </w:r>
          </w:p>
        </w:tc>
        <w:tc>
          <w:tcPr>
            <w:tcW w:w="3665" w:type="dxa"/>
            <w:tcBorders>
              <w:top w:val="single" w:color="000000" w:sz="6" w:space="0"/>
              <w:tl2br w:val="nil"/>
              <w:tr2bl w:val="nil"/>
            </w:tcBorders>
            <w:shd w:val="clear" w:color="auto" w:fill="FFFFFF" w:themeFill="background1"/>
            <w:vAlign w:val="center"/>
          </w:tcPr>
          <w:p>
            <w:pPr>
              <w:spacing w:line="360" w:lineRule="auto"/>
              <w:jc w:val="center"/>
              <w:rPr>
                <w:sz w:val="21"/>
                <w:szCs w:val="21"/>
              </w:rPr>
            </w:pPr>
            <w:r>
              <w:rPr>
                <w:sz w:val="21"/>
                <w:szCs w:val="21"/>
              </w:rPr>
              <w:t>满足</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003"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2</w:t>
            </w:r>
          </w:p>
        </w:tc>
        <w:tc>
          <w:tcPr>
            <w:tcW w:w="3610"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外墙构造</w:t>
            </w:r>
          </w:p>
        </w:tc>
        <w:tc>
          <w:tcPr>
            <w:tcW w:w="3665"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满足</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003"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3</w:t>
            </w:r>
          </w:p>
        </w:tc>
        <w:tc>
          <w:tcPr>
            <w:tcW w:w="3610"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外窗热工</w:t>
            </w:r>
          </w:p>
        </w:tc>
        <w:tc>
          <w:tcPr>
            <w:tcW w:w="3665"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满足</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003"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4</w:t>
            </w:r>
          </w:p>
        </w:tc>
        <w:tc>
          <w:tcPr>
            <w:tcW w:w="3610"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天窗类型</w:t>
            </w:r>
          </w:p>
        </w:tc>
        <w:tc>
          <w:tcPr>
            <w:tcW w:w="3665"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满足</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003"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5</w:t>
            </w:r>
          </w:p>
        </w:tc>
        <w:tc>
          <w:tcPr>
            <w:tcW w:w="3610"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有效通风换气面积</w:t>
            </w:r>
          </w:p>
        </w:tc>
        <w:tc>
          <w:tcPr>
            <w:tcW w:w="3665"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不适宜</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003"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6</w:t>
            </w:r>
          </w:p>
        </w:tc>
        <w:tc>
          <w:tcPr>
            <w:tcW w:w="3610"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非中空窗面积比</w:t>
            </w:r>
          </w:p>
        </w:tc>
        <w:tc>
          <w:tcPr>
            <w:tcW w:w="3665"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不需要</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003"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7</w:t>
            </w:r>
          </w:p>
        </w:tc>
        <w:tc>
          <w:tcPr>
            <w:tcW w:w="3610"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外窗气密性</w:t>
            </w:r>
          </w:p>
        </w:tc>
        <w:tc>
          <w:tcPr>
            <w:tcW w:w="3665"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满足</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003"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8</w:t>
            </w:r>
          </w:p>
        </w:tc>
        <w:tc>
          <w:tcPr>
            <w:tcW w:w="3610"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幕墙气密性</w:t>
            </w:r>
          </w:p>
        </w:tc>
        <w:tc>
          <w:tcPr>
            <w:tcW w:w="3665"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满足</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003"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9</w:t>
            </w:r>
          </w:p>
        </w:tc>
        <w:tc>
          <w:tcPr>
            <w:tcW w:w="3610"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综合权衡</w:t>
            </w:r>
          </w:p>
        </w:tc>
        <w:tc>
          <w:tcPr>
            <w:tcW w:w="3665"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满足</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4613" w:type="dxa"/>
            <w:gridSpan w:val="2"/>
            <w:tcBorders>
              <w:tl2br w:val="nil"/>
              <w:tr2bl w:val="nil"/>
            </w:tcBorders>
            <w:shd w:val="clear" w:color="auto" w:fill="FFFFFF" w:themeFill="background1"/>
            <w:vAlign w:val="center"/>
          </w:tcPr>
          <w:p>
            <w:pPr>
              <w:spacing w:line="360" w:lineRule="auto"/>
              <w:jc w:val="center"/>
              <w:rPr>
                <w:sz w:val="21"/>
                <w:szCs w:val="21"/>
              </w:rPr>
            </w:pPr>
            <w:r>
              <w:rPr>
                <w:sz w:val="21"/>
                <w:szCs w:val="21"/>
              </w:rPr>
              <w:t>结论</w:t>
            </w:r>
          </w:p>
        </w:tc>
        <w:tc>
          <w:tcPr>
            <w:tcW w:w="3665" w:type="dxa"/>
            <w:tcBorders>
              <w:tl2br w:val="nil"/>
              <w:tr2bl w:val="nil"/>
            </w:tcBorders>
            <w:shd w:val="clear" w:color="auto" w:fill="FFFFFF" w:themeFill="background1"/>
            <w:vAlign w:val="center"/>
          </w:tcPr>
          <w:p>
            <w:pPr>
              <w:spacing w:line="360" w:lineRule="auto"/>
              <w:jc w:val="center"/>
              <w:rPr>
                <w:sz w:val="21"/>
                <w:szCs w:val="21"/>
              </w:rPr>
            </w:pPr>
            <w:r>
              <w:rPr>
                <w:sz w:val="21"/>
                <w:szCs w:val="21"/>
              </w:rPr>
              <w:t>满足</w:t>
            </w:r>
          </w:p>
        </w:tc>
      </w:tr>
    </w:tbl>
    <w:p>
      <w:pPr>
        <w:tabs>
          <w:tab w:val="left" w:pos="2174"/>
        </w:tabs>
        <w:spacing w:line="360" w:lineRule="auto"/>
        <w:rPr>
          <w:rFonts w:cs="Times New Roman"/>
        </w:rPr>
      </w:pPr>
    </w:p>
    <w:p>
      <w:pPr>
        <w:tabs>
          <w:tab w:val="left" w:pos="2174"/>
        </w:tabs>
        <w:spacing w:line="360" w:lineRule="auto"/>
        <w:rPr>
          <w:rFonts w:cs="Times New Roman"/>
        </w:rPr>
      </w:pPr>
    </w:p>
    <w:p>
      <w:pPr>
        <w:tabs>
          <w:tab w:val="left" w:pos="2174"/>
        </w:tabs>
        <w:spacing w:line="360" w:lineRule="auto"/>
        <w:rPr>
          <w:rFonts w:cs="Times New Roman"/>
        </w:rPr>
      </w:pPr>
      <w:r>
        <w:rPr>
          <w:rFonts w:hint="eastAsia" w:cs="Times New Roman"/>
        </w:rPr>
        <w:t>（2）如图12-14所示，通过对建筑工程结构的优化，改造后建筑总体所产生的冷热负荷明显下降，峰值时期冷热负荷普遍降低，从源头减少能耗所需。</w:t>
      </w:r>
    </w:p>
    <w:p>
      <w:pPr>
        <w:tabs>
          <w:tab w:val="left" w:pos="2174"/>
        </w:tabs>
        <w:spacing w:line="360" w:lineRule="auto"/>
        <w:jc w:val="center"/>
        <w:rPr>
          <w:rFonts w:cs="Times New Roman"/>
        </w:rPr>
      </w:pPr>
      <w:r>
        <w:rPr>
          <w:rFonts w:cs="Times New Roman"/>
        </w:rPr>
        <w:drawing>
          <wp:inline distT="0" distB="0" distL="0" distR="0">
            <wp:extent cx="5243830" cy="29267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cstate="print">
                      <a:extLst>
                        <a:ext uri="{28A0092B-C50C-407E-A947-70E740481C1C}">
                          <a14:useLocalDpi xmlns:a14="http://schemas.microsoft.com/office/drawing/2010/main" val="0"/>
                        </a:ext>
                      </a:extLst>
                    </a:blip>
                    <a:srcRect l="578" t="8224"/>
                    <a:stretch>
                      <a:fillRect/>
                    </a:stretch>
                  </pic:blipFill>
                  <pic:spPr>
                    <a:xfrm>
                      <a:off x="0" y="0"/>
                      <a:ext cx="5243830" cy="2926715"/>
                    </a:xfrm>
                    <a:prstGeom prst="rect">
                      <a:avLst/>
                    </a:prstGeom>
                  </pic:spPr>
                </pic:pic>
              </a:graphicData>
            </a:graphic>
          </wp:inline>
        </w:drawing>
      </w:r>
    </w:p>
    <w:p>
      <w:pPr>
        <w:tabs>
          <w:tab w:val="left" w:pos="2174"/>
        </w:tabs>
        <w:spacing w:line="360" w:lineRule="auto"/>
        <w:jc w:val="center"/>
        <w:rPr>
          <w:rFonts w:cs="Times New Roman"/>
          <w:sz w:val="21"/>
          <w:szCs w:val="21"/>
        </w:rPr>
      </w:pPr>
      <w:r>
        <w:rPr>
          <w:rFonts w:hint="eastAsia"/>
          <w:sz w:val="21"/>
          <w:szCs w:val="21"/>
        </w:rPr>
        <w:t>图12 新能源大楼改造前后冷热负荷对比</w:t>
      </w:r>
    </w:p>
    <w:p>
      <w:pPr>
        <w:tabs>
          <w:tab w:val="left" w:pos="2174"/>
          <w:tab w:val="left" w:pos="6804"/>
        </w:tabs>
        <w:spacing w:line="360" w:lineRule="auto"/>
        <w:jc w:val="center"/>
        <w:rPr>
          <w:rFonts w:cs="Times New Roman"/>
          <w:sz w:val="21"/>
          <w:szCs w:val="21"/>
        </w:rPr>
      </w:pPr>
      <w:r>
        <w:rPr>
          <w:rFonts w:cs="Times New Roman"/>
          <w:sz w:val="21"/>
          <w:szCs w:val="21"/>
        </w:rPr>
        <w:drawing>
          <wp:inline distT="0" distB="0" distL="0" distR="0">
            <wp:extent cx="5224780" cy="29241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cstate="print">
                      <a:extLst>
                        <a:ext uri="{28A0092B-C50C-407E-A947-70E740481C1C}">
                          <a14:useLocalDpi xmlns:a14="http://schemas.microsoft.com/office/drawing/2010/main" val="0"/>
                        </a:ext>
                      </a:extLst>
                    </a:blip>
                    <a:srcRect l="939" t="8303"/>
                    <a:stretch>
                      <a:fillRect/>
                    </a:stretch>
                  </pic:blipFill>
                  <pic:spPr>
                    <a:xfrm>
                      <a:off x="0" y="0"/>
                      <a:ext cx="5224780" cy="2924175"/>
                    </a:xfrm>
                    <a:prstGeom prst="rect">
                      <a:avLst/>
                    </a:prstGeom>
                  </pic:spPr>
                </pic:pic>
              </a:graphicData>
            </a:graphic>
          </wp:inline>
        </w:drawing>
      </w:r>
    </w:p>
    <w:p>
      <w:pPr>
        <w:tabs>
          <w:tab w:val="left" w:pos="2174"/>
        </w:tabs>
        <w:spacing w:line="360" w:lineRule="auto"/>
        <w:jc w:val="center"/>
        <w:rPr>
          <w:rFonts w:cs="Times New Roman"/>
          <w:sz w:val="21"/>
          <w:szCs w:val="21"/>
        </w:rPr>
      </w:pPr>
      <w:r>
        <w:rPr>
          <w:rFonts w:hint="eastAsia"/>
          <w:sz w:val="21"/>
          <w:szCs w:val="21"/>
        </w:rPr>
        <w:t>图13 汀香园食堂改造前后冷热负荷对比</w:t>
      </w:r>
    </w:p>
    <w:p>
      <w:pPr>
        <w:tabs>
          <w:tab w:val="left" w:pos="2174"/>
        </w:tabs>
        <w:spacing w:line="360" w:lineRule="auto"/>
        <w:jc w:val="center"/>
      </w:pPr>
      <w:r>
        <w:drawing>
          <wp:inline distT="0" distB="0" distL="0" distR="0">
            <wp:extent cx="5160645" cy="29324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5" cstate="print">
                      <a:extLst>
                        <a:ext uri="{28A0092B-C50C-407E-A947-70E740481C1C}">
                          <a14:useLocalDpi xmlns:a14="http://schemas.microsoft.com/office/drawing/2010/main" val="0"/>
                        </a:ext>
                      </a:extLst>
                    </a:blip>
                    <a:srcRect l="2155" t="8045"/>
                    <a:stretch>
                      <a:fillRect/>
                    </a:stretch>
                  </pic:blipFill>
                  <pic:spPr>
                    <a:xfrm>
                      <a:off x="0" y="0"/>
                      <a:ext cx="5160645" cy="2932430"/>
                    </a:xfrm>
                    <a:prstGeom prst="rect">
                      <a:avLst/>
                    </a:prstGeom>
                  </pic:spPr>
                </pic:pic>
              </a:graphicData>
            </a:graphic>
          </wp:inline>
        </w:drawing>
      </w:r>
    </w:p>
    <w:p>
      <w:pPr>
        <w:tabs>
          <w:tab w:val="left" w:pos="2174"/>
        </w:tabs>
        <w:spacing w:line="360" w:lineRule="auto"/>
        <w:jc w:val="center"/>
        <w:rPr>
          <w:sz w:val="21"/>
          <w:szCs w:val="21"/>
        </w:rPr>
      </w:pPr>
      <w:r>
        <w:rPr>
          <w:rFonts w:hint="eastAsia"/>
          <w:sz w:val="21"/>
          <w:szCs w:val="21"/>
        </w:rPr>
        <w:t>图14 弘毅轩宿舍改造前后冷热负荷对比</w:t>
      </w:r>
    </w:p>
    <w:p>
      <w:pPr>
        <w:tabs>
          <w:tab w:val="left" w:pos="2174"/>
        </w:tabs>
        <w:spacing w:line="360" w:lineRule="auto"/>
        <w:jc w:val="center"/>
        <w:rPr>
          <w:rFonts w:hint="eastAsia" w:cs="Times New Roman"/>
          <w:sz w:val="21"/>
          <w:szCs w:val="21"/>
        </w:rPr>
      </w:pPr>
    </w:p>
    <w:p>
      <w:pPr>
        <w:numPr>
          <w:ilvl w:val="0"/>
          <w:numId w:val="1"/>
        </w:numPr>
        <w:tabs>
          <w:tab w:val="left" w:pos="2174"/>
        </w:tabs>
        <w:spacing w:line="360" w:lineRule="auto"/>
        <w:jc w:val="left"/>
        <w:rPr>
          <w:b/>
          <w:bCs/>
          <w:sz w:val="21"/>
          <w:szCs w:val="21"/>
        </w:rPr>
      </w:pPr>
      <w:r>
        <w:rPr>
          <w:rFonts w:hint="eastAsia"/>
        </w:rPr>
        <w:t>由表2可知，与原建筑相比，在校园生活圈中加入光伏板、集热器、蓄热水箱、地源热泵等设备，从而利用太阳能，地热能使建筑能耗降低。</w:t>
      </w:r>
    </w:p>
    <w:p>
      <w:pPr>
        <w:numPr>
          <w:ilvl w:val="255"/>
          <w:numId w:val="0"/>
        </w:numPr>
        <w:spacing w:line="360" w:lineRule="auto"/>
        <w:jc w:val="center"/>
      </w:pPr>
      <w:r>
        <w:rPr>
          <w:rFonts w:hint="eastAsia"/>
          <w:b/>
          <w:bCs/>
          <w:sz w:val="21"/>
          <w:szCs w:val="21"/>
        </w:rPr>
        <w:t>表2 建筑改造前后空调系统及建筑能耗对比</w:t>
      </w:r>
    </w:p>
    <w:tbl>
      <w:tblPr>
        <w:tblStyle w:val="4"/>
        <w:tblW w:w="810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8"/>
        <w:gridCol w:w="1099"/>
        <w:gridCol w:w="1111"/>
        <w:gridCol w:w="1145"/>
        <w:gridCol w:w="1175"/>
        <w:gridCol w:w="1095"/>
        <w:gridCol w:w="114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1" w:hRule="atLeast"/>
          <w:jc w:val="center"/>
        </w:trPr>
        <w:tc>
          <w:tcPr>
            <w:tcW w:w="1338" w:type="dxa"/>
            <w:tcBorders>
              <w:bottom w:val="single" w:color="auto" w:sz="6" w:space="0"/>
            </w:tcBorders>
            <w:shd w:val="clear" w:color="auto" w:fill="auto"/>
            <w:noWrap/>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名称</w:t>
            </w:r>
          </w:p>
        </w:tc>
        <w:tc>
          <w:tcPr>
            <w:tcW w:w="1099" w:type="dxa"/>
            <w:tcBorders>
              <w:bottom w:val="single" w:color="auto" w:sz="6" w:space="0"/>
            </w:tcBorders>
            <w:shd w:val="clear" w:color="auto" w:fill="auto"/>
            <w:noWrap/>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新能源大楼改造前</w:t>
            </w:r>
          </w:p>
        </w:tc>
        <w:tc>
          <w:tcPr>
            <w:tcW w:w="1111" w:type="dxa"/>
            <w:tcBorders>
              <w:bottom w:val="single" w:color="auto" w:sz="6" w:space="0"/>
            </w:tcBorders>
            <w:shd w:val="clear" w:color="auto" w:fill="auto"/>
            <w:noWrap/>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新能源大楼改造后</w:t>
            </w:r>
          </w:p>
        </w:tc>
        <w:tc>
          <w:tcPr>
            <w:tcW w:w="1145" w:type="dxa"/>
            <w:tcBorders>
              <w:bottom w:val="single" w:color="auto" w:sz="6" w:space="0"/>
            </w:tcBorders>
            <w:shd w:val="clear" w:color="auto" w:fill="auto"/>
            <w:noWrap/>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汀香园食堂改造前</w:t>
            </w:r>
          </w:p>
        </w:tc>
        <w:tc>
          <w:tcPr>
            <w:tcW w:w="1175" w:type="dxa"/>
            <w:tcBorders>
              <w:bottom w:val="single" w:color="auto" w:sz="6" w:space="0"/>
            </w:tcBorders>
            <w:shd w:val="clear" w:color="auto" w:fill="auto"/>
            <w:noWrap/>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汀香园食堂改造后</w:t>
            </w:r>
          </w:p>
        </w:tc>
        <w:tc>
          <w:tcPr>
            <w:tcW w:w="1095" w:type="dxa"/>
            <w:tcBorders>
              <w:bottom w:val="single" w:color="auto" w:sz="6" w:space="0"/>
            </w:tcBorders>
            <w:shd w:val="clear" w:color="auto" w:fill="auto"/>
            <w:noWrap/>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弘毅轩宿舍改造前</w:t>
            </w:r>
          </w:p>
        </w:tc>
        <w:tc>
          <w:tcPr>
            <w:tcW w:w="1145" w:type="dxa"/>
            <w:tcBorders>
              <w:bottom w:val="single" w:color="auto" w:sz="6" w:space="0"/>
            </w:tcBorders>
            <w:shd w:val="clear" w:color="auto" w:fill="auto"/>
            <w:noWrap/>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弘毅轩宿舍改造后</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1338" w:type="dxa"/>
            <w:tcBorders>
              <w:top w:val="single" w:color="auto" w:sz="6" w:space="0"/>
              <w:tl2br w:val="nil"/>
              <w:tr2bl w:val="nil"/>
            </w:tcBorders>
            <w:shd w:val="clear" w:color="auto" w:fill="auto"/>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15"/>
                <w:szCs w:val="15"/>
                <w:lang w:bidi="ar"/>
              </w:rPr>
              <w:t>供暖、制冷与空调系统自评得分</w:t>
            </w:r>
          </w:p>
        </w:tc>
        <w:tc>
          <w:tcPr>
            <w:tcW w:w="1099" w:type="dxa"/>
            <w:tcBorders>
              <w:top w:val="single" w:color="auto" w:sz="6" w:space="0"/>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0</w:t>
            </w:r>
          </w:p>
        </w:tc>
        <w:tc>
          <w:tcPr>
            <w:tcW w:w="1111" w:type="dxa"/>
            <w:tcBorders>
              <w:top w:val="single" w:color="auto" w:sz="6" w:space="0"/>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10</w:t>
            </w:r>
          </w:p>
        </w:tc>
        <w:tc>
          <w:tcPr>
            <w:tcW w:w="1145" w:type="dxa"/>
            <w:tcBorders>
              <w:top w:val="single" w:color="auto" w:sz="6" w:space="0"/>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0</w:t>
            </w:r>
          </w:p>
        </w:tc>
        <w:tc>
          <w:tcPr>
            <w:tcW w:w="1175" w:type="dxa"/>
            <w:tcBorders>
              <w:top w:val="single" w:color="auto" w:sz="6" w:space="0"/>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10</w:t>
            </w:r>
          </w:p>
        </w:tc>
        <w:tc>
          <w:tcPr>
            <w:tcW w:w="1095" w:type="dxa"/>
            <w:tcBorders>
              <w:top w:val="single" w:color="auto" w:sz="6" w:space="0"/>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10</w:t>
            </w:r>
          </w:p>
        </w:tc>
        <w:tc>
          <w:tcPr>
            <w:tcW w:w="1145" w:type="dxa"/>
            <w:tcBorders>
              <w:top w:val="single" w:color="auto" w:sz="6" w:space="0"/>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10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jc w:val="center"/>
        </w:trPr>
        <w:tc>
          <w:tcPr>
            <w:tcW w:w="1338"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空调系统能耗</w:t>
            </w:r>
            <w:r>
              <w:rPr>
                <w:rFonts w:cs="Times New Roman"/>
                <w:color w:val="000000"/>
                <w:kern w:val="0"/>
                <w:sz w:val="21"/>
                <w:szCs w:val="21"/>
                <w:lang w:bidi="ar"/>
              </w:rPr>
              <w:t>(kWh/m</w:t>
            </w:r>
            <w:r>
              <w:rPr>
                <w:rFonts w:cs="Times New Roman"/>
                <w:color w:val="000000"/>
                <w:kern w:val="0"/>
                <w:sz w:val="21"/>
                <w:szCs w:val="21"/>
                <w:vertAlign w:val="superscript"/>
                <w:lang w:bidi="ar"/>
              </w:rPr>
              <w:t>2</w:t>
            </w:r>
            <w:r>
              <w:rPr>
                <w:rFonts w:cs="Times New Roman"/>
                <w:color w:val="000000"/>
                <w:kern w:val="0"/>
                <w:sz w:val="21"/>
                <w:szCs w:val="21"/>
                <w:lang w:bidi="ar"/>
              </w:rPr>
              <w:t>)</w:t>
            </w:r>
          </w:p>
        </w:tc>
        <w:tc>
          <w:tcPr>
            <w:tcW w:w="1099"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26.65</w:t>
            </w:r>
          </w:p>
        </w:tc>
        <w:tc>
          <w:tcPr>
            <w:tcW w:w="1111"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8.49</w:t>
            </w:r>
          </w:p>
        </w:tc>
        <w:tc>
          <w:tcPr>
            <w:tcW w:w="114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57.71</w:t>
            </w:r>
          </w:p>
        </w:tc>
        <w:tc>
          <w:tcPr>
            <w:tcW w:w="117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16.6</w:t>
            </w:r>
          </w:p>
        </w:tc>
        <w:tc>
          <w:tcPr>
            <w:tcW w:w="109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10.76</w:t>
            </w:r>
          </w:p>
        </w:tc>
        <w:tc>
          <w:tcPr>
            <w:tcW w:w="114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8.63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1338" w:type="dxa"/>
            <w:tcBorders>
              <w:tl2br w:val="nil"/>
              <w:tr2bl w:val="nil"/>
            </w:tcBorders>
            <w:shd w:val="clear" w:color="auto" w:fill="auto"/>
            <w:noWrap/>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15"/>
                <w:szCs w:val="15"/>
                <w:lang w:bidi="ar"/>
              </w:rPr>
              <w:t>空调系统节能率</w:t>
            </w:r>
          </w:p>
        </w:tc>
        <w:tc>
          <w:tcPr>
            <w:tcW w:w="1099"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-1.15%</w:t>
            </w:r>
          </w:p>
        </w:tc>
        <w:tc>
          <w:tcPr>
            <w:tcW w:w="1111"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60.74%</w:t>
            </w:r>
          </w:p>
        </w:tc>
        <w:tc>
          <w:tcPr>
            <w:tcW w:w="114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-2.74%</w:t>
            </w:r>
          </w:p>
        </w:tc>
        <w:tc>
          <w:tcPr>
            <w:tcW w:w="117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70.05%</w:t>
            </w:r>
          </w:p>
        </w:tc>
        <w:tc>
          <w:tcPr>
            <w:tcW w:w="109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32.12%</w:t>
            </w:r>
          </w:p>
        </w:tc>
        <w:tc>
          <w:tcPr>
            <w:tcW w:w="114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61.96%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1338" w:type="dxa"/>
            <w:tcBorders>
              <w:tl2br w:val="nil"/>
              <w:tr2bl w:val="nil"/>
            </w:tcBorders>
            <w:shd w:val="clear" w:color="auto" w:fill="auto"/>
            <w:noWrap/>
            <w:vAlign w:val="center"/>
          </w:tcPr>
          <w:p>
            <w:pPr>
              <w:widowControl/>
              <w:spacing w:line="360" w:lineRule="auto"/>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建筑总能耗</w:t>
            </w:r>
            <w:r>
              <w:rPr>
                <w:rFonts w:cs="Times New Roman"/>
                <w:color w:val="000000"/>
                <w:kern w:val="0"/>
                <w:sz w:val="21"/>
                <w:szCs w:val="21"/>
                <w:lang w:bidi="ar"/>
              </w:rPr>
              <w:t>(kWh/m</w:t>
            </w:r>
            <w:r>
              <w:rPr>
                <w:rFonts w:cs="Times New Roman"/>
                <w:color w:val="000000"/>
                <w:kern w:val="0"/>
                <w:sz w:val="21"/>
                <w:szCs w:val="21"/>
                <w:vertAlign w:val="superscript"/>
                <w:lang w:bidi="ar"/>
              </w:rPr>
              <w:t>2</w:t>
            </w:r>
            <w:r>
              <w:rPr>
                <w:rFonts w:cs="Times New Roman"/>
                <w:color w:val="000000"/>
                <w:kern w:val="0"/>
                <w:sz w:val="21"/>
                <w:szCs w:val="21"/>
                <w:lang w:bidi="ar"/>
              </w:rPr>
              <w:t>)</w:t>
            </w:r>
          </w:p>
        </w:tc>
        <w:tc>
          <w:tcPr>
            <w:tcW w:w="1099"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71.16</w:t>
            </w:r>
          </w:p>
        </w:tc>
        <w:tc>
          <w:tcPr>
            <w:tcW w:w="1111"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0</w:t>
            </w:r>
          </w:p>
        </w:tc>
        <w:tc>
          <w:tcPr>
            <w:tcW w:w="114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190.71</w:t>
            </w:r>
          </w:p>
        </w:tc>
        <w:tc>
          <w:tcPr>
            <w:tcW w:w="117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34.38</w:t>
            </w:r>
          </w:p>
        </w:tc>
        <w:tc>
          <w:tcPr>
            <w:tcW w:w="109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42.62</w:t>
            </w:r>
          </w:p>
        </w:tc>
        <w:tc>
          <w:tcPr>
            <w:tcW w:w="1145" w:type="dxa"/>
            <w:tcBorders>
              <w:tl2br w:val="nil"/>
              <w:tr2bl w:val="nil"/>
            </w:tcBorders>
            <w:shd w:val="clear" w:color="auto" w:fill="auto"/>
            <w:noWrap/>
            <w:vAlign w:val="center"/>
          </w:tcPr>
          <w:p>
            <w:pPr>
              <w:widowControl/>
              <w:spacing w:line="360" w:lineRule="auto"/>
              <w:jc w:val="center"/>
              <w:textAlignment w:val="center"/>
              <w:rPr>
                <w:rFonts w:cs="Times New Roman"/>
                <w:color w:val="000000"/>
                <w:sz w:val="21"/>
                <w:szCs w:val="21"/>
              </w:rPr>
            </w:pPr>
            <w:r>
              <w:rPr>
                <w:rFonts w:cs="Times New Roman"/>
                <w:color w:val="000000"/>
                <w:kern w:val="0"/>
                <w:sz w:val="21"/>
                <w:szCs w:val="21"/>
                <w:lang w:bidi="ar"/>
              </w:rPr>
              <w:t>0</w:t>
            </w:r>
          </w:p>
        </w:tc>
      </w:tr>
    </w:tbl>
    <w:p>
      <w:pPr>
        <w:tabs>
          <w:tab w:val="left" w:pos="3004"/>
        </w:tabs>
        <w:spacing w:line="360" w:lineRule="auto"/>
      </w:pPr>
    </w:p>
    <w:p>
      <w:pPr>
        <w:tabs>
          <w:tab w:val="left" w:pos="3004"/>
        </w:tabs>
        <w:spacing w:line="360" w:lineRule="auto"/>
      </w:pPr>
      <w:r>
        <w:rPr>
          <w:rFonts w:hint="eastAsia"/>
        </w:rPr>
        <w:t>（4）校园生活圈建筑通过一系列的多能输入和输出基本达到了建筑碳中和，成功响应了国家“3060”碳目标的号召，建筑运行碳排放构成如下：</w:t>
      </w:r>
    </w:p>
    <w:p>
      <w:pPr>
        <w:tabs>
          <w:tab w:val="left" w:pos="3004"/>
        </w:tabs>
        <w:spacing w:line="360" w:lineRule="auto"/>
      </w:pPr>
      <w:r>
        <w:drawing>
          <wp:inline distT="0" distB="0" distL="114300" distR="114300">
            <wp:extent cx="2570480" cy="2032000"/>
            <wp:effectExtent l="0" t="0" r="1270" b="6350"/>
            <wp:docPr id="4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drawing>
          <wp:inline distT="0" distB="0" distL="114300" distR="114300">
            <wp:extent cx="2522855" cy="1957070"/>
            <wp:effectExtent l="0" t="0" r="0" b="5080"/>
            <wp:docPr id="4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tabs>
          <w:tab w:val="left" w:pos="3004"/>
        </w:tabs>
        <w:spacing w:line="360" w:lineRule="auto"/>
        <w:jc w:val="center"/>
        <w:rPr>
          <w:sz w:val="21"/>
          <w:szCs w:val="21"/>
        </w:rPr>
      </w:pPr>
      <w:r>
        <w:rPr>
          <w:rFonts w:hint="eastAsia"/>
          <w:sz w:val="21"/>
          <w:szCs w:val="21"/>
        </w:rPr>
        <w:t>图15 新能源大楼碳排放构成图           图16 汀香园食堂碳排放构成图</w:t>
      </w:r>
    </w:p>
    <w:p>
      <w:pPr>
        <w:tabs>
          <w:tab w:val="left" w:pos="3004"/>
        </w:tabs>
        <w:spacing w:line="360" w:lineRule="auto"/>
        <w:ind w:firstLine="960" w:firstLineChars="400"/>
        <w:jc w:val="center"/>
      </w:pPr>
      <w:r>
        <w:drawing>
          <wp:inline distT="0" distB="0" distL="114300" distR="114300">
            <wp:extent cx="2684145" cy="1819910"/>
            <wp:effectExtent l="0" t="0" r="1905" b="8890"/>
            <wp:docPr id="4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tabs>
          <w:tab w:val="left" w:pos="3004"/>
        </w:tabs>
        <w:spacing w:line="360" w:lineRule="auto"/>
        <w:jc w:val="center"/>
        <w:rPr>
          <w:sz w:val="21"/>
          <w:szCs w:val="21"/>
        </w:rPr>
      </w:pPr>
      <w:r>
        <w:rPr>
          <w:rFonts w:hint="eastAsia"/>
          <w:sz w:val="21"/>
          <w:szCs w:val="21"/>
        </w:rPr>
        <w:t>图17 弘毅轩宿舍碳排放构成图</w:t>
      </w:r>
    </w:p>
    <w:p>
      <w:pPr>
        <w:tabs>
          <w:tab w:val="left" w:pos="3004"/>
        </w:tabs>
        <w:spacing w:line="360" w:lineRule="auto"/>
        <w:jc w:val="center"/>
        <w:rPr>
          <w:rFonts w:hint="eastAsia"/>
        </w:rPr>
      </w:pPr>
    </w:p>
    <w:p>
      <w:pPr>
        <w:tabs>
          <w:tab w:val="left" w:pos="3004"/>
        </w:tabs>
        <w:spacing w:line="360" w:lineRule="auto"/>
      </w:pPr>
      <w:r>
        <w:rPr>
          <w:rFonts w:hint="eastAsia"/>
        </w:rPr>
        <w:t>（5）在食堂每层四周的梁上安装导光板，将中庭收集到的光照均匀分布给四周，解决了食堂四周采光不足的问题，其他建筑采光不足的地方也做了相应的改造，改造后采光模拟图如下：</w:t>
      </w:r>
    </w:p>
    <w:p>
      <w:pPr>
        <w:tabs>
          <w:tab w:val="left" w:pos="3004"/>
        </w:tabs>
        <w:spacing w:line="360" w:lineRule="auto"/>
        <w:jc w:val="center"/>
      </w:pPr>
      <w:r>
        <w:drawing>
          <wp:inline distT="0" distB="0" distL="0" distR="0">
            <wp:extent cx="2520315" cy="1654175"/>
            <wp:effectExtent l="0" t="0" r="13335" b="317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9"/>
                    <a:stretch>
                      <a:fillRect/>
                    </a:stretch>
                  </pic:blipFill>
                  <pic:spPr>
                    <a:xfrm>
                      <a:off x="0" y="0"/>
                      <a:ext cx="2520315" cy="1654175"/>
                    </a:xfrm>
                    <a:prstGeom prst="rect">
                      <a:avLst/>
                    </a:prstGeom>
                  </pic:spPr>
                </pic:pic>
              </a:graphicData>
            </a:graphic>
          </wp:inline>
        </w:drawing>
      </w:r>
      <w:r>
        <w:rPr>
          <w:rFonts w:hint="eastAsia"/>
        </w:rPr>
        <w:t xml:space="preserve">  </w:t>
      </w:r>
      <w:r>
        <w:drawing>
          <wp:inline distT="0" distB="0" distL="114300" distR="114300">
            <wp:extent cx="2520315" cy="1733550"/>
            <wp:effectExtent l="0" t="0" r="13335" b="0"/>
            <wp:docPr id="12" name="图片 12" descr="新能源1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能源1层"/>
                    <pic:cNvPicPr>
                      <a:picLocks noChangeAspect="1"/>
                    </pic:cNvPicPr>
                  </pic:nvPicPr>
                  <pic:blipFill>
                    <a:blip r:embed="rId30"/>
                    <a:stretch>
                      <a:fillRect/>
                    </a:stretch>
                  </pic:blipFill>
                  <pic:spPr>
                    <a:xfrm>
                      <a:off x="0" y="0"/>
                      <a:ext cx="2520315" cy="1733550"/>
                    </a:xfrm>
                    <a:prstGeom prst="rect">
                      <a:avLst/>
                    </a:prstGeom>
                  </pic:spPr>
                </pic:pic>
              </a:graphicData>
            </a:graphic>
          </wp:inline>
        </w:drawing>
      </w:r>
    </w:p>
    <w:p>
      <w:pPr>
        <w:tabs>
          <w:tab w:val="left" w:pos="3004"/>
        </w:tabs>
        <w:spacing w:line="360" w:lineRule="auto"/>
        <w:jc w:val="center"/>
        <w:rPr>
          <w:sz w:val="21"/>
          <w:szCs w:val="21"/>
        </w:rPr>
      </w:pPr>
      <w:r>
        <w:rPr>
          <w:rFonts w:hint="eastAsia"/>
          <w:sz w:val="21"/>
          <w:szCs w:val="21"/>
        </w:rPr>
        <w:t>图18 汀香食堂改造后采光模拟图       图19 新能源大楼改造后采光模拟图</w:t>
      </w:r>
    </w:p>
    <w:p>
      <w:pPr>
        <w:tabs>
          <w:tab w:val="left" w:pos="3004"/>
        </w:tabs>
        <w:spacing w:line="360" w:lineRule="auto"/>
        <w:jc w:val="center"/>
        <w:rPr>
          <w:rFonts w:hint="eastAsia"/>
        </w:rPr>
      </w:pPr>
    </w:p>
    <w:p>
      <w:pPr>
        <w:tabs>
          <w:tab w:val="left" w:pos="3004"/>
        </w:tabs>
        <w:spacing w:line="360" w:lineRule="auto"/>
      </w:pPr>
      <w:r>
        <w:rPr>
          <w:rFonts w:hint="eastAsia"/>
        </w:rPr>
        <w:t>（6）建筑改造后冬夏季、过渡季室外风速、风压、无风区、旋涡区及室内通风等均符合我国《绿色建筑评价标准》GB/T 50378—2019，模拟效果图如下：</w:t>
      </w:r>
    </w:p>
    <w:p>
      <w:pPr>
        <w:tabs>
          <w:tab w:val="left" w:pos="3004"/>
        </w:tabs>
        <w:spacing w:line="360" w:lineRule="auto"/>
        <w:rPr>
          <w:rFonts w:hint="eastAsia"/>
        </w:rPr>
      </w:pPr>
    </w:p>
    <w:p>
      <w:pPr>
        <w:tabs>
          <w:tab w:val="left" w:pos="3004"/>
        </w:tabs>
        <w:spacing w:line="360" w:lineRule="auto"/>
      </w:pPr>
      <w:r>
        <w:rPr>
          <w:rFonts w:hint="eastAsia"/>
        </w:rPr>
        <w:drawing>
          <wp:inline distT="0" distB="0" distL="114300" distR="114300">
            <wp:extent cx="2520315" cy="1762760"/>
            <wp:effectExtent l="0" t="0" r="13335" b="8890"/>
            <wp:docPr id="16" name="图片 16" descr="室外通风轴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室外通风轴测图"/>
                    <pic:cNvPicPr>
                      <a:picLocks noChangeAspect="1"/>
                    </pic:cNvPicPr>
                  </pic:nvPicPr>
                  <pic:blipFill>
                    <a:blip r:embed="rId31"/>
                    <a:srcRect l="-120" t="7875" r="10624" b="-750"/>
                    <a:stretch>
                      <a:fillRect/>
                    </a:stretch>
                  </pic:blipFill>
                  <pic:spPr>
                    <a:xfrm>
                      <a:off x="0" y="0"/>
                      <a:ext cx="2520315" cy="1762760"/>
                    </a:xfrm>
                    <a:prstGeom prst="rect">
                      <a:avLst/>
                    </a:prstGeom>
                  </pic:spPr>
                </pic:pic>
              </a:graphicData>
            </a:graphic>
          </wp:inline>
        </w:drawing>
      </w:r>
      <w:r>
        <w:rPr>
          <w:rFonts w:hint="eastAsia"/>
        </w:rPr>
        <w:drawing>
          <wp:inline distT="0" distB="0" distL="114300" distR="114300">
            <wp:extent cx="2520315" cy="1762125"/>
            <wp:effectExtent l="0" t="0" r="13335" b="9525"/>
            <wp:docPr id="17" name="图片 17" descr="夏季室外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夏季室外速度云图"/>
                    <pic:cNvPicPr>
                      <a:picLocks noChangeAspect="1"/>
                    </pic:cNvPicPr>
                  </pic:nvPicPr>
                  <pic:blipFill>
                    <a:blip r:embed="rId32"/>
                    <a:srcRect l="740" t="10888" r="21204" b="-461"/>
                    <a:stretch>
                      <a:fillRect/>
                    </a:stretch>
                  </pic:blipFill>
                  <pic:spPr>
                    <a:xfrm>
                      <a:off x="0" y="0"/>
                      <a:ext cx="2520315" cy="1762125"/>
                    </a:xfrm>
                    <a:prstGeom prst="rect">
                      <a:avLst/>
                    </a:prstGeom>
                  </pic:spPr>
                </pic:pic>
              </a:graphicData>
            </a:graphic>
          </wp:inline>
        </w:drawing>
      </w:r>
    </w:p>
    <w:p>
      <w:pPr>
        <w:tabs>
          <w:tab w:val="left" w:pos="3004"/>
        </w:tabs>
        <w:spacing w:line="360" w:lineRule="auto"/>
        <w:jc w:val="center"/>
      </w:pPr>
      <w:r>
        <w:rPr>
          <w:rFonts w:hint="eastAsia"/>
          <w:sz w:val="21"/>
          <w:szCs w:val="21"/>
        </w:rPr>
        <w:t>图20  校园生活圈室外通风轴测图               图21  校园生活圈夏季室外风速云图</w:t>
      </w:r>
    </w:p>
    <w:p>
      <w:pPr>
        <w:tabs>
          <w:tab w:val="left" w:pos="3004"/>
        </w:tabs>
        <w:spacing w:line="360" w:lineRule="auto"/>
        <w:jc w:val="left"/>
      </w:pPr>
      <w:r>
        <w:drawing>
          <wp:inline distT="0" distB="0" distL="114300" distR="114300">
            <wp:extent cx="2520315" cy="1723390"/>
            <wp:effectExtent l="0" t="0" r="13335" b="10160"/>
            <wp:docPr id="40" name="图片 40" descr="风速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风速云图"/>
                    <pic:cNvPicPr>
                      <a:picLocks noChangeAspect="1"/>
                    </pic:cNvPicPr>
                  </pic:nvPicPr>
                  <pic:blipFill>
                    <a:blip r:embed="rId33"/>
                    <a:srcRect r="9799" b="86"/>
                    <a:stretch>
                      <a:fillRect/>
                    </a:stretch>
                  </pic:blipFill>
                  <pic:spPr>
                    <a:xfrm>
                      <a:off x="0" y="0"/>
                      <a:ext cx="2520315" cy="1723390"/>
                    </a:xfrm>
                    <a:prstGeom prst="rect">
                      <a:avLst/>
                    </a:prstGeom>
                  </pic:spPr>
                </pic:pic>
              </a:graphicData>
            </a:graphic>
          </wp:inline>
        </w:drawing>
      </w:r>
      <w:r>
        <w:drawing>
          <wp:inline distT="0" distB="0" distL="114300" distR="114300">
            <wp:extent cx="2520315" cy="1732280"/>
            <wp:effectExtent l="0" t="0" r="13335" b="1270"/>
            <wp:docPr id="41" name="图片 41" descr="空气龄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空气龄云图"/>
                    <pic:cNvPicPr>
                      <a:picLocks noChangeAspect="1"/>
                    </pic:cNvPicPr>
                  </pic:nvPicPr>
                  <pic:blipFill>
                    <a:blip r:embed="rId34"/>
                    <a:srcRect t="9814" r="21480" b="-951"/>
                    <a:stretch>
                      <a:fillRect/>
                    </a:stretch>
                  </pic:blipFill>
                  <pic:spPr>
                    <a:xfrm>
                      <a:off x="0" y="0"/>
                      <a:ext cx="2520315" cy="1732280"/>
                    </a:xfrm>
                    <a:prstGeom prst="rect">
                      <a:avLst/>
                    </a:prstGeom>
                  </pic:spPr>
                </pic:pic>
              </a:graphicData>
            </a:graphic>
          </wp:inline>
        </w:drawing>
      </w:r>
    </w:p>
    <w:p>
      <w:pPr>
        <w:tabs>
          <w:tab w:val="left" w:pos="3004"/>
        </w:tabs>
        <w:spacing w:line="360" w:lineRule="auto"/>
        <w:jc w:val="center"/>
      </w:pPr>
      <w:r>
        <w:rPr>
          <w:rFonts w:hint="eastAsia"/>
          <w:sz w:val="21"/>
          <w:szCs w:val="21"/>
        </w:rPr>
        <w:t xml:space="preserve">图22 弘毅轩宿舍风速云图               </w:t>
      </w:r>
      <w:r>
        <w:rPr>
          <w:rFonts w:hint="eastAsia"/>
          <w:sz w:val="21"/>
          <w:szCs w:val="21"/>
          <w:highlight w:val="none"/>
        </w:rPr>
        <w:t xml:space="preserve">图23 </w:t>
      </w:r>
      <w:r>
        <w:rPr>
          <w:rFonts w:hint="eastAsia"/>
          <w:sz w:val="21"/>
          <w:szCs w:val="21"/>
          <w:highlight w:val="none"/>
          <w:lang w:val="en-US" w:eastAsia="zh-CN"/>
        </w:rPr>
        <w:t>食堂一楼就餐区</w:t>
      </w:r>
      <w:r>
        <w:rPr>
          <w:rFonts w:hint="eastAsia"/>
          <w:sz w:val="21"/>
          <w:szCs w:val="21"/>
          <w:highlight w:val="none"/>
        </w:rPr>
        <w:t>空气龄云图</w:t>
      </w:r>
    </w:p>
    <w:p>
      <w:pPr>
        <w:tabs>
          <w:tab w:val="left" w:pos="3004"/>
        </w:tabs>
        <w:spacing w:line="360" w:lineRule="auto"/>
        <w:jc w:val="left"/>
        <w:rPr>
          <w:rFonts w:hint="eastAsia"/>
        </w:rPr>
      </w:pPr>
      <w:r>
        <w:rPr>
          <w:rFonts w:hint="eastAsia"/>
        </w:rPr>
        <w:t>（7）改造后住区热环境设计合理，平均迎风面积比、活动场地遮阳覆盖率、平均热岛强度和湿球干球温度均符合标准要求的范围，温度分布模拟图如下：</w:t>
      </w:r>
    </w:p>
    <w:p>
      <w:pPr>
        <w:tabs>
          <w:tab w:val="left" w:pos="3004"/>
        </w:tabs>
        <w:spacing w:line="360" w:lineRule="auto"/>
        <w:jc w:val="center"/>
      </w:pPr>
      <w:r>
        <w:drawing>
          <wp:inline distT="0" distB="0" distL="114300" distR="114300">
            <wp:extent cx="4930775" cy="2750820"/>
            <wp:effectExtent l="0" t="0" r="3175" b="11430"/>
            <wp:docPr id="21" name="图片 21" descr="微信图片_2022010614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106141743"/>
                    <pic:cNvPicPr>
                      <a:picLocks noChangeAspect="1"/>
                    </pic:cNvPicPr>
                  </pic:nvPicPr>
                  <pic:blipFill>
                    <a:blip r:embed="rId35"/>
                    <a:srcRect l="60" t="8868" r="6397" b="19987"/>
                    <a:stretch>
                      <a:fillRect/>
                    </a:stretch>
                  </pic:blipFill>
                  <pic:spPr>
                    <a:xfrm>
                      <a:off x="0" y="0"/>
                      <a:ext cx="4930775" cy="2750820"/>
                    </a:xfrm>
                    <a:prstGeom prst="rect">
                      <a:avLst/>
                    </a:prstGeom>
                  </pic:spPr>
                </pic:pic>
              </a:graphicData>
            </a:graphic>
          </wp:inline>
        </w:drawing>
      </w:r>
    </w:p>
    <w:p>
      <w:pPr>
        <w:tabs>
          <w:tab w:val="left" w:pos="3004"/>
        </w:tabs>
        <w:spacing w:line="360" w:lineRule="auto"/>
        <w:jc w:val="center"/>
        <w:rPr>
          <w:sz w:val="21"/>
          <w:szCs w:val="21"/>
          <w:highlight w:val="none"/>
        </w:rPr>
      </w:pPr>
      <w:r>
        <w:rPr>
          <w:rFonts w:hint="eastAsia"/>
          <w:sz w:val="21"/>
          <w:szCs w:val="21"/>
          <w:highlight w:val="none"/>
        </w:rPr>
        <w:t>图24 住区温度分布总图</w:t>
      </w:r>
    </w:p>
    <w:p>
      <w:pPr>
        <w:numPr>
          <w:ilvl w:val="0"/>
          <w:numId w:val="2"/>
        </w:numPr>
        <w:spacing w:line="360" w:lineRule="auto"/>
      </w:pPr>
      <w:r>
        <w:rPr>
          <w:rFonts w:hint="eastAsia"/>
        </w:rPr>
        <w:t>在步道、游憩场、停车场、广场等室外活动场地中设置乔木、花架等遮阴措施，提高活动区遮阴率，在屋顶绿植等措施，提高屋顶遮阴率。总体优化渲染效果如图25所示，通过一系列优化措施，真正实现绿色舒适的MIMO绿源智慧校园生活圈。</w:t>
      </w:r>
    </w:p>
    <w:p>
      <w:pPr>
        <w:numPr>
          <w:ilvl w:val="255"/>
          <w:numId w:val="0"/>
        </w:numPr>
        <w:spacing w:line="360" w:lineRule="auto"/>
        <w:jc w:val="center"/>
      </w:pPr>
      <w:r>
        <w:drawing>
          <wp:inline distT="0" distB="0" distL="114300" distR="114300">
            <wp:extent cx="3599815" cy="2025015"/>
            <wp:effectExtent l="0" t="0" r="63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6"/>
                    <a:stretch>
                      <a:fillRect/>
                    </a:stretch>
                  </pic:blipFill>
                  <pic:spPr>
                    <a:xfrm>
                      <a:off x="0" y="0"/>
                      <a:ext cx="3599815" cy="2025015"/>
                    </a:xfrm>
                    <a:prstGeom prst="rect">
                      <a:avLst/>
                    </a:prstGeom>
                    <a:noFill/>
                    <a:ln>
                      <a:noFill/>
                    </a:ln>
                  </pic:spPr>
                </pic:pic>
              </a:graphicData>
            </a:graphic>
          </wp:inline>
        </w:drawing>
      </w:r>
    </w:p>
    <w:p>
      <w:pPr>
        <w:numPr>
          <w:ilvl w:val="255"/>
          <w:numId w:val="0"/>
        </w:numPr>
        <w:spacing w:line="360" w:lineRule="auto"/>
        <w:jc w:val="center"/>
      </w:pPr>
      <w:r>
        <w:drawing>
          <wp:inline distT="0" distB="0" distL="114300" distR="114300">
            <wp:extent cx="3599815" cy="2024380"/>
            <wp:effectExtent l="0" t="0" r="635" b="139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7"/>
                    <a:stretch>
                      <a:fillRect/>
                    </a:stretch>
                  </pic:blipFill>
                  <pic:spPr>
                    <a:xfrm>
                      <a:off x="0" y="0"/>
                      <a:ext cx="3599815" cy="2024380"/>
                    </a:xfrm>
                    <a:prstGeom prst="rect">
                      <a:avLst/>
                    </a:prstGeom>
                    <a:noFill/>
                    <a:ln>
                      <a:noFill/>
                    </a:ln>
                  </pic:spPr>
                </pic:pic>
              </a:graphicData>
            </a:graphic>
          </wp:inline>
        </w:drawing>
      </w:r>
    </w:p>
    <w:p>
      <w:pPr>
        <w:numPr>
          <w:ilvl w:val="255"/>
          <w:numId w:val="0"/>
        </w:numPr>
        <w:spacing w:line="360" w:lineRule="auto"/>
        <w:jc w:val="center"/>
      </w:pPr>
      <w:r>
        <w:rPr>
          <w:rFonts w:hint="eastAsia"/>
        </w:rPr>
        <w:drawing>
          <wp:inline distT="0" distB="0" distL="114300" distR="114300">
            <wp:extent cx="3599815" cy="2025015"/>
            <wp:effectExtent l="0" t="0" r="635" b="13335"/>
            <wp:docPr id="43" name="图片 43" descr="1_2 - 拍照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_2 - 拍照模式"/>
                    <pic:cNvPicPr>
                      <a:picLocks noChangeAspect="1"/>
                    </pic:cNvPicPr>
                  </pic:nvPicPr>
                  <pic:blipFill>
                    <a:blip r:embed="rId38"/>
                    <a:stretch>
                      <a:fillRect/>
                    </a:stretch>
                  </pic:blipFill>
                  <pic:spPr>
                    <a:xfrm>
                      <a:off x="0" y="0"/>
                      <a:ext cx="3599815" cy="2025015"/>
                    </a:xfrm>
                    <a:prstGeom prst="rect">
                      <a:avLst/>
                    </a:prstGeom>
                  </pic:spPr>
                </pic:pic>
              </a:graphicData>
            </a:graphic>
          </wp:inline>
        </w:drawing>
      </w:r>
    </w:p>
    <w:p>
      <w:pPr>
        <w:tabs>
          <w:tab w:val="left" w:pos="3004"/>
        </w:tabs>
        <w:spacing w:line="360" w:lineRule="auto"/>
        <w:jc w:val="center"/>
        <w:rPr>
          <w:sz w:val="21"/>
          <w:szCs w:val="21"/>
        </w:rPr>
      </w:pPr>
      <w:r>
        <w:rPr>
          <w:rFonts w:hint="eastAsia"/>
          <w:sz w:val="21"/>
          <w:szCs w:val="21"/>
        </w:rPr>
        <w:t xml:space="preserve">图25 </w:t>
      </w:r>
      <w:r>
        <w:rPr>
          <w:rFonts w:hint="eastAsia"/>
        </w:rPr>
        <w:t>MIMO绿源智慧校园生活圈</w:t>
      </w:r>
    </w:p>
    <w:p>
      <w:pPr>
        <w:numPr>
          <w:ilvl w:val="255"/>
          <w:numId w:val="0"/>
        </w:numPr>
        <w:spacing w:line="360" w:lineRule="auto"/>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C14060"/>
    <w:multiLevelType w:val="singleLevel"/>
    <w:tmpl w:val="A7C14060"/>
    <w:lvl w:ilvl="0" w:tentative="0">
      <w:start w:val="3"/>
      <w:numFmt w:val="decimal"/>
      <w:suff w:val="nothing"/>
      <w:lvlText w:val="（%1）"/>
      <w:lvlJc w:val="left"/>
    </w:lvl>
  </w:abstractNum>
  <w:abstractNum w:abstractNumId="1">
    <w:nsid w:val="55C93632"/>
    <w:multiLevelType w:val="singleLevel"/>
    <w:tmpl w:val="55C93632"/>
    <w:lvl w:ilvl="0" w:tentative="0">
      <w:start w:val="8"/>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03D"/>
    <w:rsid w:val="000015B4"/>
    <w:rsid w:val="000222C3"/>
    <w:rsid w:val="0004002E"/>
    <w:rsid w:val="00135B06"/>
    <w:rsid w:val="001613C7"/>
    <w:rsid w:val="001944B0"/>
    <w:rsid w:val="00276EAB"/>
    <w:rsid w:val="003249D4"/>
    <w:rsid w:val="00397603"/>
    <w:rsid w:val="00456C0C"/>
    <w:rsid w:val="004E31D3"/>
    <w:rsid w:val="0052003D"/>
    <w:rsid w:val="005A4172"/>
    <w:rsid w:val="005C48CD"/>
    <w:rsid w:val="00657265"/>
    <w:rsid w:val="00782B5A"/>
    <w:rsid w:val="007C1E3B"/>
    <w:rsid w:val="007C648B"/>
    <w:rsid w:val="008501BE"/>
    <w:rsid w:val="00876A81"/>
    <w:rsid w:val="008E2973"/>
    <w:rsid w:val="00923394"/>
    <w:rsid w:val="00954D1D"/>
    <w:rsid w:val="00962307"/>
    <w:rsid w:val="00985A8C"/>
    <w:rsid w:val="0099170D"/>
    <w:rsid w:val="009D6CF1"/>
    <w:rsid w:val="00A22E83"/>
    <w:rsid w:val="00A32FDB"/>
    <w:rsid w:val="00A7259F"/>
    <w:rsid w:val="00AE7935"/>
    <w:rsid w:val="00B11BD9"/>
    <w:rsid w:val="00B93C64"/>
    <w:rsid w:val="00C0538E"/>
    <w:rsid w:val="00CE2FD7"/>
    <w:rsid w:val="00D7134B"/>
    <w:rsid w:val="00D97561"/>
    <w:rsid w:val="00E70636"/>
    <w:rsid w:val="00F669FF"/>
    <w:rsid w:val="00F74D4F"/>
    <w:rsid w:val="029E6833"/>
    <w:rsid w:val="039E6C77"/>
    <w:rsid w:val="05F35383"/>
    <w:rsid w:val="05FB3147"/>
    <w:rsid w:val="07526DE0"/>
    <w:rsid w:val="07D067E8"/>
    <w:rsid w:val="0D42705A"/>
    <w:rsid w:val="0FB52939"/>
    <w:rsid w:val="1A3B27F2"/>
    <w:rsid w:val="290F49D2"/>
    <w:rsid w:val="29691F7D"/>
    <w:rsid w:val="2C10720C"/>
    <w:rsid w:val="2D4F76EF"/>
    <w:rsid w:val="399741D7"/>
    <w:rsid w:val="3B757274"/>
    <w:rsid w:val="40EA348A"/>
    <w:rsid w:val="4AEE56D5"/>
    <w:rsid w:val="5FD714D1"/>
    <w:rsid w:val="60022749"/>
    <w:rsid w:val="61852EE7"/>
    <w:rsid w:val="65516507"/>
    <w:rsid w:val="6FB444FF"/>
    <w:rsid w:val="77084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character" w:customStyle="1" w:styleId="8">
    <w:name w:val="font21"/>
    <w:basedOn w:val="5"/>
    <w:qFormat/>
    <w:uiPriority w:val="0"/>
    <w:rPr>
      <w:rFonts w:hint="default" w:ascii="Times New Roman" w:hAnsi="Times New Roman" w:cs="Times New Roman"/>
      <w:color w:val="000000"/>
      <w:sz w:val="22"/>
      <w:szCs w:val="22"/>
      <w:u w:val="none"/>
      <w:vertAlign w:val="superscript"/>
    </w:rPr>
  </w:style>
  <w:style w:type="character" w:customStyle="1" w:styleId="9">
    <w:name w:val="font11"/>
    <w:basedOn w:val="5"/>
    <w:qFormat/>
    <w:uiPriority w:val="0"/>
    <w:rPr>
      <w:rFonts w:hint="default" w:ascii="Times New Roman" w:hAnsi="Times New Roman" w:cs="Times New Roman"/>
      <w:color w:val="000000"/>
      <w:sz w:val="22"/>
      <w:szCs w:val="22"/>
      <w:u w:val="none"/>
    </w:rPr>
  </w:style>
  <w:style w:type="paragraph" w:customStyle="1" w:styleId="10">
    <w:name w:val="修订1"/>
    <w:hidden/>
    <w:semiHidden/>
    <w:uiPriority w:val="99"/>
    <w:rPr>
      <w:rFonts w:ascii="Times New Roman" w:hAnsi="Times New Roman" w:eastAsia="宋体" w:cstheme="minorBidi"/>
      <w:kern w:val="2"/>
      <w:sz w:val="24"/>
      <w:szCs w:val="22"/>
      <w:lang w:val="en-US" w:eastAsia="zh-CN" w:bidi="ar-SA"/>
    </w:rPr>
  </w:style>
  <w:style w:type="paragraph" w:customStyle="1" w:styleId="11">
    <w:name w:val="Revision"/>
    <w:hidden/>
    <w:semiHidden/>
    <w:uiPriority w:val="99"/>
    <w:rPr>
      <w:rFonts w:ascii="Times New Roman" w:hAnsi="Times New Roman"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theme" Target="theme/theme1.xml"/><Relationship Id="rId29" Type="http://schemas.openxmlformats.org/officeDocument/2006/relationships/image" Target="media/image23.png"/><Relationship Id="rId28" Type="http://schemas.openxmlformats.org/officeDocument/2006/relationships/chart" Target="charts/chart3.xml"/><Relationship Id="rId27" Type="http://schemas.openxmlformats.org/officeDocument/2006/relationships/chart" Target="charts/chart2.xml"/><Relationship Id="rId26" Type="http://schemas.openxmlformats.org/officeDocument/2006/relationships/chart" Target="charts/chart1.xml"/><Relationship Id="rId25" Type="http://schemas.openxmlformats.org/officeDocument/2006/relationships/image" Target="media/image22.emf"/><Relationship Id="rId24" Type="http://schemas.openxmlformats.org/officeDocument/2006/relationships/image" Target="media/image21.emf"/><Relationship Id="rId23" Type="http://schemas.openxmlformats.org/officeDocument/2006/relationships/image" Target="media/image20.emf"/><Relationship Id="rId22" Type="http://schemas.openxmlformats.org/officeDocument/2006/relationships/image" Target="media/image19.emf"/><Relationship Id="rId21" Type="http://schemas.openxmlformats.org/officeDocument/2006/relationships/image" Target="media/image18.emf"/><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emf"/><Relationship Id="rId17" Type="http://schemas.openxmlformats.org/officeDocument/2006/relationships/image" Target="media/image14.emf"/><Relationship Id="rId16" Type="http://schemas.openxmlformats.org/officeDocument/2006/relationships/image" Target="media/image13.emf"/><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c:explosion val="0"/>
          <c:dPt>
            <c:idx val="0"/>
            <c:bubble3D val="0"/>
            <c:spPr>
              <a:solidFill>
                <a:srgbClr val="5B9BD5"/>
              </a:solidFill>
              <a:ln w="19050">
                <a:solidFill>
                  <a:sysClr val="window" lastClr="FFFFFF"/>
                </a:solidFill>
              </a:ln>
              <a:effectLst/>
            </c:spPr>
          </c:dPt>
          <c:dPt>
            <c:idx val="1"/>
            <c:bubble3D val="0"/>
            <c:spPr>
              <a:solidFill>
                <a:srgbClr val="ED7D31"/>
              </a:solidFill>
              <a:ln w="19050">
                <a:solidFill>
                  <a:sysClr val="window" lastClr="FFFFFF"/>
                </a:solidFill>
              </a:ln>
              <a:effectLst/>
            </c:spPr>
          </c:dPt>
          <c:dPt>
            <c:idx val="2"/>
            <c:bubble3D val="0"/>
            <c:spPr>
              <a:solidFill>
                <a:srgbClr val="A5A5A5"/>
              </a:solidFill>
              <a:ln w="19050">
                <a:solidFill>
                  <a:sysClr val="window" lastClr="FFFFFF"/>
                </a:solidFill>
              </a:ln>
              <a:effectLst/>
            </c:spPr>
          </c:dPt>
          <c:dPt>
            <c:idx val="3"/>
            <c:bubble3D val="0"/>
            <c:spPr>
              <a:solidFill>
                <a:srgbClr val="FFC000"/>
              </a:solidFill>
              <a:ln w="19050">
                <a:solidFill>
                  <a:sysClr val="window" lastClr="FFFFFF"/>
                </a:solidFill>
              </a:ln>
              <a:effectLst/>
            </c:spPr>
          </c:dPt>
          <c:dPt>
            <c:idx val="4"/>
            <c:bubble3D val="0"/>
            <c:spPr>
              <a:solidFill>
                <a:srgbClr val="4472C4"/>
              </a:solidFill>
              <a:ln w="19050">
                <a:solidFill>
                  <a:sysClr val="window" lastClr="FFFFFF"/>
                </a:solidFill>
              </a:ln>
              <a:effectLst/>
            </c:spPr>
          </c:dPt>
          <c:dPt>
            <c:idx val="5"/>
            <c:bubble3D val="0"/>
            <c:spPr>
              <a:solidFill>
                <a:srgbClr val="70AD47"/>
              </a:solidFill>
              <a:ln w="19050">
                <a:solidFill>
                  <a:sysClr val="window" lastClr="FFFFFF"/>
                </a:solidFill>
              </a:ln>
              <a:effectLst/>
            </c:spPr>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[工作簿1]Sheet1!$A$1:$A$6</c:f>
              <c:strCache>
                <c:ptCount val="6"/>
                <c:pt idx="0">
                  <c:v>供冷电耗</c:v>
                </c:pt>
                <c:pt idx="1">
                  <c:v>供暖电耗</c:v>
                </c:pt>
                <c:pt idx="2">
                  <c:v>空调风机</c:v>
                </c:pt>
                <c:pt idx="3">
                  <c:v>照明电耗</c:v>
                </c:pt>
                <c:pt idx="4">
                  <c:v>插座设备</c:v>
                </c:pt>
                <c:pt idx="5">
                  <c:v>其他电耗</c:v>
                </c:pt>
              </c:strCache>
            </c:strRef>
          </c:cat>
          <c:val>
            <c:numRef>
              <c:f>[工作簿1]Sheet1!$B$1:$B$6</c:f>
              <c:numCache>
                <c:formatCode>General</c:formatCode>
                <c:ptCount val="6"/>
                <c:pt idx="0">
                  <c:v>1456</c:v>
                </c:pt>
                <c:pt idx="1">
                  <c:v>326</c:v>
                </c:pt>
                <c:pt idx="2">
                  <c:v>340</c:v>
                </c:pt>
                <c:pt idx="3">
                  <c:v>906</c:v>
                </c:pt>
                <c:pt idx="4">
                  <c:v>2112</c:v>
                </c:pt>
                <c:pt idx="5">
                  <c:v>915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2"/>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3"/>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4"/>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5"/>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ysClr val="window" lastClr="FFFFFF"/>
    </a:solidFill>
    <a:ln w="9525" cap="flat" cmpd="sng" algn="ctr">
      <a:noFill/>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c:explosion val="0"/>
          <c:dPt>
            <c:idx val="0"/>
            <c:bubble3D val="0"/>
            <c:spPr>
              <a:solidFill>
                <a:srgbClr val="5B9BD5"/>
              </a:solidFill>
              <a:ln w="19050">
                <a:solidFill>
                  <a:sysClr val="window" lastClr="FFFFFF"/>
                </a:solidFill>
              </a:ln>
              <a:effectLst/>
            </c:spPr>
          </c:dPt>
          <c:dPt>
            <c:idx val="1"/>
            <c:bubble3D val="0"/>
            <c:spPr>
              <a:solidFill>
                <a:srgbClr val="ED7D31"/>
              </a:solidFill>
              <a:ln w="19050">
                <a:solidFill>
                  <a:sysClr val="window" lastClr="FFFFFF"/>
                </a:solidFill>
              </a:ln>
              <a:effectLst/>
            </c:spPr>
          </c:dPt>
          <c:dPt>
            <c:idx val="2"/>
            <c:bubble3D val="0"/>
            <c:spPr>
              <a:solidFill>
                <a:srgbClr val="A5A5A5"/>
              </a:solidFill>
              <a:ln w="19050">
                <a:solidFill>
                  <a:sysClr val="window" lastClr="FFFFFF"/>
                </a:solidFill>
              </a:ln>
              <a:effectLst/>
            </c:spPr>
          </c:dPt>
          <c:dPt>
            <c:idx val="3"/>
            <c:bubble3D val="0"/>
            <c:spPr>
              <a:solidFill>
                <a:srgbClr val="FFC000"/>
              </a:solidFill>
              <a:ln w="19050">
                <a:solidFill>
                  <a:sysClr val="window" lastClr="FFFFFF"/>
                </a:solidFill>
              </a:ln>
              <a:effectLst/>
            </c:spPr>
          </c:dPt>
          <c:dPt>
            <c:idx val="4"/>
            <c:bubble3D val="0"/>
            <c:spPr>
              <a:solidFill>
                <a:srgbClr val="4472C4"/>
              </a:solidFill>
              <a:ln w="19050">
                <a:solidFill>
                  <a:sysClr val="window" lastClr="FFFFFF"/>
                </a:solidFill>
              </a:ln>
              <a:effectLst/>
            </c:spPr>
          </c:dPt>
          <c:dPt>
            <c:idx val="5"/>
            <c:bubble3D val="0"/>
            <c:spPr>
              <a:solidFill>
                <a:srgbClr val="70AD47"/>
              </a:solidFill>
              <a:ln w="19050">
                <a:solidFill>
                  <a:sysClr val="window" lastClr="FFFFFF"/>
                </a:solidFill>
              </a:ln>
              <a:effectLst/>
            </c:spPr>
          </c:dPt>
          <c:dLbls>
            <c:dLbl>
              <c:idx val="1"/>
              <c:layout>
                <c:manualLayout>
                  <c:x val="-0.0033811908236879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37806941454612"/>
                  <c:y val="0.11711711711711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[工作簿1]Sheet1!$A$8:$A$13</c:f>
              <c:strCache>
                <c:ptCount val="6"/>
                <c:pt idx="0">
                  <c:v>供冷电耗</c:v>
                </c:pt>
                <c:pt idx="1">
                  <c:v>供暖电耗</c:v>
                </c:pt>
                <c:pt idx="2">
                  <c:v>空调风机</c:v>
                </c:pt>
                <c:pt idx="3">
                  <c:v>照明电耗</c:v>
                </c:pt>
                <c:pt idx="4">
                  <c:v>插座设备</c:v>
                </c:pt>
                <c:pt idx="5">
                  <c:v>其他电耗</c:v>
                </c:pt>
              </c:strCache>
            </c:strRef>
          </c:cat>
          <c:val>
            <c:numRef>
              <c:f>[工作簿1]Sheet1!$B$8:$B$13</c:f>
              <c:numCache>
                <c:formatCode>General</c:formatCode>
                <c:ptCount val="6"/>
                <c:pt idx="0">
                  <c:v>170</c:v>
                </c:pt>
                <c:pt idx="1">
                  <c:v>71</c:v>
                </c:pt>
                <c:pt idx="2">
                  <c:v>221</c:v>
                </c:pt>
                <c:pt idx="3">
                  <c:v>1195</c:v>
                </c:pt>
                <c:pt idx="4">
                  <c:v>2786</c:v>
                </c:pt>
                <c:pt idx="5">
                  <c:v>862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2"/>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3"/>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4"/>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5"/>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ysClr val="window" lastClr="FFFFFF"/>
    </a:solidFill>
    <a:ln w="9525" cap="flat" cmpd="sng" algn="ctr">
      <a:noFill/>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c:explosion val="0"/>
          <c:dPt>
            <c:idx val="0"/>
            <c:bubble3D val="0"/>
            <c:spPr>
              <a:solidFill>
                <a:srgbClr val="5B9BD5"/>
              </a:solidFill>
              <a:ln w="19050">
                <a:solidFill>
                  <a:sysClr val="window" lastClr="FFFFFF"/>
                </a:solidFill>
              </a:ln>
              <a:effectLst/>
            </c:spPr>
          </c:dPt>
          <c:dPt>
            <c:idx val="1"/>
            <c:bubble3D val="0"/>
            <c:spPr>
              <a:solidFill>
                <a:srgbClr val="ED7D31"/>
              </a:solidFill>
              <a:ln w="19050">
                <a:solidFill>
                  <a:sysClr val="window" lastClr="FFFFFF"/>
                </a:solidFill>
              </a:ln>
              <a:effectLst/>
            </c:spPr>
          </c:dPt>
          <c:dPt>
            <c:idx val="2"/>
            <c:bubble3D val="0"/>
            <c:spPr>
              <a:solidFill>
                <a:srgbClr val="A5A5A5"/>
              </a:solidFill>
              <a:ln w="19050">
                <a:solidFill>
                  <a:sysClr val="window" lastClr="FFFFFF"/>
                </a:solidFill>
              </a:ln>
              <a:effectLst/>
            </c:spPr>
          </c:dPt>
          <c:dPt>
            <c:idx val="3"/>
            <c:bubble3D val="0"/>
            <c:spPr>
              <a:solidFill>
                <a:srgbClr val="FFC000"/>
              </a:solidFill>
              <a:ln w="19050">
                <a:solidFill>
                  <a:sysClr val="window" lastClr="FFFFFF"/>
                </a:solidFill>
              </a:ln>
              <a:effectLst/>
            </c:spPr>
          </c:dPt>
          <c:dPt>
            <c:idx val="4"/>
            <c:bubble3D val="0"/>
            <c:spPr>
              <a:solidFill>
                <a:srgbClr val="4472C4"/>
              </a:solidFill>
              <a:ln w="19050">
                <a:solidFill>
                  <a:sysClr val="window" lastClr="FFFFFF"/>
                </a:solidFill>
              </a:ln>
              <a:effectLst/>
            </c:spPr>
          </c:dPt>
          <c:dPt>
            <c:idx val="5"/>
            <c:bubble3D val="0"/>
            <c:spPr>
              <a:solidFill>
                <a:srgbClr val="70AD47"/>
              </a:solidFill>
              <a:ln w="19050">
                <a:solidFill>
                  <a:sysClr val="window" lastClr="FFFFFF"/>
                </a:solidFill>
              </a:ln>
              <a:effectLst/>
            </c:spPr>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[工作簿1]Sheet1!$A$15:$A$20</c:f>
              <c:strCache>
                <c:ptCount val="6"/>
                <c:pt idx="0">
                  <c:v>供冷电耗</c:v>
                </c:pt>
                <c:pt idx="1">
                  <c:v>供暖电耗</c:v>
                </c:pt>
                <c:pt idx="2">
                  <c:v>空调风机</c:v>
                </c:pt>
                <c:pt idx="3">
                  <c:v>照明电耗</c:v>
                </c:pt>
                <c:pt idx="4">
                  <c:v>插座设备</c:v>
                </c:pt>
                <c:pt idx="5">
                  <c:v>其他电耗</c:v>
                </c:pt>
              </c:strCache>
            </c:strRef>
          </c:cat>
          <c:val>
            <c:numRef>
              <c:f>[工作簿1]Sheet1!$B$15:$B$20</c:f>
              <c:numCache>
                <c:formatCode>General</c:formatCode>
                <c:ptCount val="6"/>
                <c:pt idx="0">
                  <c:v>1222</c:v>
                </c:pt>
                <c:pt idx="1">
                  <c:v>141</c:v>
                </c:pt>
                <c:pt idx="2">
                  <c:v>282</c:v>
                </c:pt>
                <c:pt idx="3">
                  <c:v>277</c:v>
                </c:pt>
                <c:pt idx="4">
                  <c:v>2042</c:v>
                </c:pt>
                <c:pt idx="5">
                  <c:v>2241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2"/>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3"/>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4"/>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egendEntry>
        <c:idx val="5"/>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ysClr val="window" lastClr="FFFFFF"/>
    </a:solidFill>
    <a:ln w="9525" cap="flat" cmpd="sng" algn="ctr">
      <a:noFill/>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525</Words>
  <Characters>2994</Characters>
  <Lines>24</Lines>
  <Paragraphs>7</Paragraphs>
  <TotalTime>1</TotalTime>
  <ScaleCrop>false</ScaleCrop>
  <LinksUpToDate>false</LinksUpToDate>
  <CharactersWithSpaces>3512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2021-12-22T09:01:00Z</dcterms:created>
  <dc:creator>罗 静</dc:creator>
  <cp:lastModifiedBy>萌圆圆</cp:lastModifiedBy>
  <dcterms:modified xsi:type="dcterms:W3CDTF">2022-03-09T08:10:12Z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C5F5D8BABDC24798ABDAA0A2BE73892D</vt:lpwstr>
  </property>
</Properties>
</file>