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福建-南平</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2021年12月16日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T17346206180</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"_Toc90590992"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_Toc90590992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"_Toc90590993" </w:instrText>
      </w:r>
      <w:r>
        <w:fldChar w:fldCharType="separate"/>
      </w:r>
      <w:r>
        <w:rPr>
          <w:rStyle w:val="22"/>
        </w:rPr>
        <w:t>2</w:t>
      </w:r>
      <w:r>
        <w:rPr>
          <w:rFonts w:asciiTheme="minorHAnsi" w:hAnsiTheme="minorHAnsi" w:eastAsiaTheme="minorEastAsia" w:cstheme="minorBidi"/>
          <w:b w:val="0"/>
          <w:bCs w:val="0"/>
          <w:szCs w:val="22"/>
        </w:rPr>
        <w:tab/>
      </w:r>
      <w:r>
        <w:rPr>
          <w:rStyle w:val="22"/>
        </w:rPr>
        <w:t>计算依据</w:t>
      </w:r>
      <w:r>
        <w:tab/>
      </w:r>
      <w:r>
        <w:fldChar w:fldCharType="begin"/>
      </w:r>
      <w:r>
        <w:instrText xml:space="preserve"> PAGEREF _Toc90590993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"_Toc90590994" </w:instrText>
      </w:r>
      <w:r>
        <w:fldChar w:fldCharType="separate"/>
      </w:r>
      <w:r>
        <w:rPr>
          <w:rStyle w:val="22"/>
        </w:rPr>
        <w:t>3</w:t>
      </w:r>
      <w:r>
        <w:rPr>
          <w:rFonts w:asciiTheme="minorHAnsi" w:hAnsiTheme="minorHAnsi" w:eastAsiaTheme="minorEastAsia" w:cstheme="minorBidi"/>
          <w:b w:val="0"/>
          <w:bCs w:val="0"/>
          <w:szCs w:val="22"/>
        </w:rPr>
        <w:tab/>
      </w:r>
      <w:r>
        <w:rPr>
          <w:rStyle w:val="22"/>
        </w:rPr>
        <w:t>计算要求</w:t>
      </w:r>
      <w:r>
        <w:tab/>
      </w:r>
      <w:r>
        <w:fldChar w:fldCharType="begin"/>
      </w:r>
      <w:r>
        <w:instrText xml:space="preserve"> PAGEREF _Toc90590994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"_Toc90590995" </w:instrText>
      </w:r>
      <w:r>
        <w:fldChar w:fldCharType="separate"/>
      </w:r>
      <w:r>
        <w:rPr>
          <w:rStyle w:val="22"/>
          <w:lang w:val="en-GB"/>
        </w:rPr>
        <w:t>3.1</w:t>
      </w:r>
      <w:r>
        <w:rPr>
          <w:rFonts w:asciiTheme="minorHAnsi" w:hAnsiTheme="minorHAnsi" w:eastAsiaTheme="minorEastAsia" w:cstheme="minorBidi"/>
          <w:szCs w:val="22"/>
        </w:rPr>
        <w:tab/>
      </w:r>
      <w:r>
        <w:rPr>
          <w:rStyle w:val="22"/>
        </w:rPr>
        <w:t>计算目标</w:t>
      </w:r>
      <w:r>
        <w:tab/>
      </w:r>
      <w:r>
        <w:fldChar w:fldCharType="begin"/>
      </w:r>
      <w:r>
        <w:instrText xml:space="preserve"> PAGEREF _Toc90590995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"_Toc90590996" </w:instrText>
      </w:r>
      <w:r>
        <w:fldChar w:fldCharType="separate"/>
      </w:r>
      <w:r>
        <w:rPr>
          <w:rStyle w:val="22"/>
          <w:lang w:val="en-GB"/>
        </w:rPr>
        <w:t>3.2</w:t>
      </w:r>
      <w:r>
        <w:rPr>
          <w:rFonts w:asciiTheme="minorHAnsi" w:hAnsiTheme="minorHAnsi" w:eastAsiaTheme="minorEastAsia" w:cstheme="minorBidi"/>
          <w:szCs w:val="22"/>
        </w:rPr>
        <w:tab/>
      </w:r>
      <w:r>
        <w:rPr>
          <w:rStyle w:val="22"/>
        </w:rPr>
        <w:t>计算方法</w:t>
      </w:r>
      <w:r>
        <w:tab/>
      </w:r>
      <w:r>
        <w:fldChar w:fldCharType="begin"/>
      </w:r>
      <w:r>
        <w:instrText xml:space="preserve"> PAGEREF _Toc90590996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"_Toc90590997" </w:instrText>
      </w:r>
      <w:r>
        <w:fldChar w:fldCharType="separate"/>
      </w:r>
      <w:r>
        <w:rPr>
          <w:rStyle w:val="22"/>
        </w:rPr>
        <w:t>4</w:t>
      </w:r>
      <w:r>
        <w:rPr>
          <w:rFonts w:asciiTheme="minorHAnsi" w:hAnsiTheme="minorHAnsi" w:eastAsiaTheme="minorEastAsia" w:cstheme="minorBidi"/>
          <w:b w:val="0"/>
          <w:bCs w:val="0"/>
          <w:szCs w:val="22"/>
        </w:rPr>
        <w:tab/>
      </w:r>
      <w:r>
        <w:rPr>
          <w:rStyle w:val="22"/>
        </w:rPr>
        <w:t>气象数据</w:t>
      </w:r>
      <w:r>
        <w:tab/>
      </w:r>
      <w:r>
        <w:fldChar w:fldCharType="begin"/>
      </w:r>
      <w:r>
        <w:instrText xml:space="preserve"> PAGEREF _Toc90590997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"_Toc90590998" </w:instrText>
      </w:r>
      <w:r>
        <w:fldChar w:fldCharType="separate"/>
      </w:r>
      <w:r>
        <w:rPr>
          <w:rStyle w:val="22"/>
          <w:lang w:val="en-GB"/>
        </w:rPr>
        <w:t>4.1</w:t>
      </w:r>
      <w:r>
        <w:rPr>
          <w:rFonts w:asciiTheme="minorHAnsi" w:hAnsiTheme="minorHAnsi" w:eastAsiaTheme="minorEastAsia" w:cstheme="minorBidi"/>
          <w:szCs w:val="22"/>
        </w:rPr>
        <w:tab/>
      </w:r>
      <w:r>
        <w:rPr>
          <w:rStyle w:val="22"/>
        </w:rPr>
        <w:t>气象地点</w:t>
      </w:r>
      <w:r>
        <w:tab/>
      </w:r>
      <w:r>
        <w:fldChar w:fldCharType="begin"/>
      </w:r>
      <w:r>
        <w:instrText xml:space="preserve"> PAGEREF _Toc90590998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"_Toc90590999" </w:instrText>
      </w:r>
      <w:r>
        <w:fldChar w:fldCharType="separate"/>
      </w:r>
      <w:r>
        <w:rPr>
          <w:rStyle w:val="22"/>
          <w:lang w:val="en-GB"/>
        </w:rPr>
        <w:t>4.2</w:t>
      </w:r>
      <w:r>
        <w:rPr>
          <w:rFonts w:asciiTheme="minorHAnsi" w:hAnsiTheme="minorHAnsi" w:eastAsiaTheme="minorEastAsia" w:cstheme="minorBidi"/>
          <w:szCs w:val="22"/>
        </w:rPr>
        <w:tab/>
      </w:r>
      <w:r>
        <w:rPr>
          <w:rStyle w:val="22"/>
        </w:rPr>
        <w:t>逐日干球温度表</w:t>
      </w:r>
      <w:r>
        <w:tab/>
      </w:r>
      <w:r>
        <w:fldChar w:fldCharType="begin"/>
      </w:r>
      <w:r>
        <w:instrText xml:space="preserve"> PAGEREF _Toc90590999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"_Toc90591000" </w:instrText>
      </w:r>
      <w:r>
        <w:fldChar w:fldCharType="separate"/>
      </w:r>
      <w:r>
        <w:rPr>
          <w:rStyle w:val="22"/>
          <w:lang w:val="en-GB"/>
        </w:rPr>
        <w:t>4.3</w:t>
      </w:r>
      <w:r>
        <w:rPr>
          <w:rFonts w:asciiTheme="minorHAnsi" w:hAnsiTheme="minorHAnsi" w:eastAsiaTheme="minorEastAsia" w:cstheme="minorBidi"/>
          <w:szCs w:val="22"/>
        </w:rPr>
        <w:tab/>
      </w:r>
      <w:r>
        <w:rPr>
          <w:rStyle w:val="22"/>
        </w:rPr>
        <w:t>逐月辐照量表</w:t>
      </w:r>
      <w:r>
        <w:tab/>
      </w:r>
      <w:r>
        <w:fldChar w:fldCharType="begin"/>
      </w:r>
      <w:r>
        <w:instrText xml:space="preserve"> PAGEREF _Toc90591000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"_Toc90591001" </w:instrText>
      </w:r>
      <w:r>
        <w:fldChar w:fldCharType="separate"/>
      </w:r>
      <w:r>
        <w:rPr>
          <w:rStyle w:val="22"/>
          <w:lang w:val="en-GB"/>
        </w:rPr>
        <w:t>4.4</w:t>
      </w:r>
      <w:r>
        <w:rPr>
          <w:rFonts w:asciiTheme="minorHAnsi" w:hAnsiTheme="minorHAnsi" w:eastAsiaTheme="minorEastAsia" w:cstheme="minorBidi"/>
          <w:szCs w:val="22"/>
        </w:rPr>
        <w:tab/>
      </w:r>
      <w:r>
        <w:rPr>
          <w:rStyle w:val="22"/>
        </w:rPr>
        <w:t>峰值工况</w:t>
      </w:r>
      <w:r>
        <w:tab/>
      </w:r>
      <w:r>
        <w:fldChar w:fldCharType="begin"/>
      </w:r>
      <w:r>
        <w:instrText xml:space="preserve"> PAGEREF _Toc90591001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"_Toc90591002" </w:instrText>
      </w:r>
      <w:r>
        <w:fldChar w:fldCharType="separate"/>
      </w:r>
      <w:r>
        <w:rPr>
          <w:rStyle w:val="22"/>
        </w:rPr>
        <w:t>5</w:t>
      </w:r>
      <w:r>
        <w:rPr>
          <w:rFonts w:asciiTheme="minorHAnsi" w:hAnsiTheme="minorHAnsi" w:eastAsiaTheme="minorEastAsia" w:cstheme="minorBidi"/>
          <w:b w:val="0"/>
          <w:bCs w:val="0"/>
          <w:szCs w:val="22"/>
        </w:rPr>
        <w:tab/>
      </w:r>
      <w:r>
        <w:rPr>
          <w:rStyle w:val="22"/>
        </w:rPr>
        <w:t>围护结构</w:t>
      </w:r>
      <w:r>
        <w:tab/>
      </w:r>
      <w:r>
        <w:fldChar w:fldCharType="begin"/>
      </w:r>
      <w:r>
        <w:instrText xml:space="preserve"> PAGEREF _Toc90591002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"_Toc90591003" </w:instrText>
      </w:r>
      <w:r>
        <w:fldChar w:fldCharType="separate"/>
      </w:r>
      <w:r>
        <w:rPr>
          <w:rStyle w:val="22"/>
          <w:lang w:val="en-GB"/>
        </w:rPr>
        <w:t>5.1</w:t>
      </w:r>
      <w:r>
        <w:rPr>
          <w:rFonts w:asciiTheme="minorHAnsi" w:hAnsiTheme="minorHAnsi" w:eastAsiaTheme="minorEastAsia" w:cstheme="minorBidi"/>
          <w:szCs w:val="22"/>
        </w:rPr>
        <w:tab/>
      </w:r>
      <w:r>
        <w:rPr>
          <w:rStyle w:val="22"/>
        </w:rPr>
        <w:t>工程材料</w:t>
      </w:r>
      <w:r>
        <w:tab/>
      </w:r>
      <w:r>
        <w:fldChar w:fldCharType="begin"/>
      </w:r>
      <w:r>
        <w:instrText xml:space="preserve"> PAGEREF _Toc90591003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"_Toc90591004" </w:instrText>
      </w:r>
      <w:r>
        <w:fldChar w:fldCharType="separate"/>
      </w:r>
      <w:r>
        <w:rPr>
          <w:rStyle w:val="22"/>
        </w:rPr>
        <w:t>6</w:t>
      </w:r>
      <w:r>
        <w:rPr>
          <w:rFonts w:asciiTheme="minorHAnsi" w:hAnsiTheme="minorHAnsi" w:eastAsiaTheme="minorEastAsia" w:cstheme="minorBidi"/>
          <w:b w:val="0"/>
          <w:bCs w:val="0"/>
          <w:szCs w:val="22"/>
        </w:rPr>
        <w:tab/>
      </w:r>
      <w:r>
        <w:rPr>
          <w:rStyle w:val="22"/>
        </w:rPr>
        <w:t>房间类型</w:t>
      </w:r>
      <w:r>
        <w:tab/>
      </w:r>
      <w:r>
        <w:fldChar w:fldCharType="begin"/>
      </w:r>
      <w:r>
        <w:instrText xml:space="preserve"> PAGEREF _Toc90591004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"_Toc90591005" </w:instrText>
      </w:r>
      <w:r>
        <w:fldChar w:fldCharType="separate"/>
      </w:r>
      <w:r>
        <w:rPr>
          <w:rStyle w:val="22"/>
          <w:lang w:val="en-GB"/>
        </w:rPr>
        <w:t>6.1</w:t>
      </w:r>
      <w:r>
        <w:rPr>
          <w:rFonts w:asciiTheme="minorHAnsi" w:hAnsiTheme="minorHAnsi" w:eastAsiaTheme="minorEastAsia" w:cstheme="minorBidi"/>
          <w:szCs w:val="22"/>
        </w:rPr>
        <w:tab/>
      </w:r>
      <w:r>
        <w:rPr>
          <w:rStyle w:val="22"/>
        </w:rPr>
        <w:t>房间表</w:t>
      </w:r>
      <w:r>
        <w:tab/>
      </w:r>
      <w:r>
        <w:fldChar w:fldCharType="begin"/>
      </w:r>
      <w:r>
        <w:instrText xml:space="preserve"> PAGEREF _Toc90591005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"_Toc90591006" </w:instrText>
      </w:r>
      <w:r>
        <w:fldChar w:fldCharType="separate"/>
      </w:r>
      <w:r>
        <w:rPr>
          <w:rStyle w:val="22"/>
          <w:lang w:val="en-GB"/>
        </w:rPr>
        <w:t>6.2</w:t>
      </w:r>
      <w:r>
        <w:rPr>
          <w:rFonts w:asciiTheme="minorHAnsi" w:hAnsiTheme="minorHAnsi" w:eastAsiaTheme="minorEastAsia" w:cstheme="minorBidi"/>
          <w:szCs w:val="22"/>
        </w:rPr>
        <w:tab/>
      </w:r>
      <w:r>
        <w:rPr>
          <w:rStyle w:val="22"/>
        </w:rPr>
        <w:t>作息时间表</w:t>
      </w:r>
      <w:r>
        <w:tab/>
      </w:r>
      <w:r>
        <w:fldChar w:fldCharType="begin"/>
      </w:r>
      <w:r>
        <w:instrText xml:space="preserve"> PAGEREF _Toc90591006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"_Toc90591007" </w:instrText>
      </w:r>
      <w:r>
        <w:fldChar w:fldCharType="separate"/>
      </w:r>
      <w:r>
        <w:rPr>
          <w:rStyle w:val="22"/>
        </w:rPr>
        <w:t>7</w:t>
      </w:r>
      <w:r>
        <w:rPr>
          <w:rFonts w:asciiTheme="minorHAnsi" w:hAnsiTheme="minorHAnsi" w:eastAsiaTheme="minorEastAsia" w:cstheme="minorBidi"/>
          <w:b w:val="0"/>
          <w:bCs w:val="0"/>
          <w:szCs w:val="22"/>
        </w:rPr>
        <w:tab/>
      </w:r>
      <w:r>
        <w:rPr>
          <w:rStyle w:val="22"/>
        </w:rPr>
        <w:t>计算结果</w:t>
      </w:r>
      <w:r>
        <w:tab/>
      </w:r>
      <w:r>
        <w:fldChar w:fldCharType="begin"/>
      </w:r>
      <w:r>
        <w:instrText xml:space="preserve"> PAGEREF _Toc90591007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"_Toc90591008" </w:instrText>
      </w:r>
      <w:r>
        <w:fldChar w:fldCharType="separate"/>
      </w:r>
      <w:r>
        <w:rPr>
          <w:rStyle w:val="22"/>
          <w:lang w:val="en-GB"/>
        </w:rPr>
        <w:t>7.1</w:t>
      </w:r>
      <w:r>
        <w:rPr>
          <w:rFonts w:asciiTheme="minorHAnsi" w:hAnsiTheme="minorHAnsi" w:eastAsiaTheme="minorEastAsia" w:cstheme="minorBidi"/>
          <w:szCs w:val="22"/>
        </w:rPr>
        <w:tab/>
      </w:r>
      <w:r>
        <w:rPr>
          <w:rStyle w:val="22"/>
        </w:rPr>
        <w:t>围护结构热工性能对比</w:t>
      </w:r>
      <w:r>
        <w:tab/>
      </w:r>
      <w:r>
        <w:fldChar w:fldCharType="begin"/>
      </w:r>
      <w:r>
        <w:instrText xml:space="preserve"> PAGEREF _Toc90591008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"_Toc90591009" </w:instrText>
      </w:r>
      <w:r>
        <w:fldChar w:fldCharType="separate"/>
      </w:r>
      <w:r>
        <w:rPr>
          <w:rStyle w:val="22"/>
          <w:lang w:val="en-GB"/>
        </w:rPr>
        <w:t>7.2</w:t>
      </w:r>
      <w:r>
        <w:rPr>
          <w:rFonts w:asciiTheme="minorHAnsi" w:hAnsiTheme="minorHAnsi" w:eastAsiaTheme="minorEastAsia" w:cstheme="minorBidi"/>
          <w:szCs w:val="22"/>
        </w:rPr>
        <w:tab/>
      </w:r>
      <w:r>
        <w:rPr>
          <w:rStyle w:val="22"/>
        </w:rPr>
        <w:t>负荷分项统计</w:t>
      </w:r>
      <w:r>
        <w:tab/>
      </w:r>
      <w:r>
        <w:fldChar w:fldCharType="begin"/>
      </w:r>
      <w:r>
        <w:instrText xml:space="preserve"> PAGEREF _Toc90591009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"_Toc90591010" </w:instrText>
      </w:r>
      <w:r>
        <w:fldChar w:fldCharType="separate"/>
      </w:r>
      <w:r>
        <w:rPr>
          <w:rStyle w:val="22"/>
          <w:lang w:val="en-GB"/>
        </w:rPr>
        <w:t>7.3</w:t>
      </w:r>
      <w:r>
        <w:rPr>
          <w:rFonts w:asciiTheme="minorHAnsi" w:hAnsiTheme="minorHAnsi" w:eastAsiaTheme="minorEastAsia" w:cstheme="minorBidi"/>
          <w:szCs w:val="22"/>
        </w:rPr>
        <w:tab/>
      </w:r>
      <w:r>
        <w:rPr>
          <w:rStyle w:val="22"/>
        </w:rPr>
        <w:t>逐月负荷表</w:t>
      </w:r>
      <w:r>
        <w:tab/>
      </w:r>
      <w:r>
        <w:fldChar w:fldCharType="begin"/>
      </w:r>
      <w:r>
        <w:instrText xml:space="preserve"> PAGEREF _Toc90591010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"_Toc90591011" </w:instrText>
      </w:r>
      <w:r>
        <w:fldChar w:fldCharType="separate"/>
      </w:r>
      <w:r>
        <w:rPr>
          <w:rStyle w:val="22"/>
          <w:lang w:val="en-GB"/>
        </w:rPr>
        <w:t>7.4</w:t>
      </w:r>
      <w:r>
        <w:rPr>
          <w:rFonts w:asciiTheme="minorHAnsi" w:hAnsiTheme="minorHAnsi" w:eastAsiaTheme="minorEastAsia" w:cstheme="minorBidi"/>
          <w:szCs w:val="22"/>
        </w:rPr>
        <w:tab/>
      </w:r>
      <w:r>
        <w:rPr>
          <w:rStyle w:val="22"/>
        </w:rPr>
        <w:t>围护结构节能率</w:t>
      </w:r>
      <w:r>
        <w:tab/>
      </w:r>
      <w:r>
        <w:fldChar w:fldCharType="begin"/>
      </w:r>
      <w:r>
        <w:instrText xml:space="preserve"> PAGEREF _Toc90591011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"_Toc90591012" </w:instrText>
      </w:r>
      <w:r>
        <w:fldChar w:fldCharType="separate"/>
      </w:r>
      <w:r>
        <w:rPr>
          <w:rStyle w:val="22"/>
        </w:rPr>
        <w:t>8</w:t>
      </w:r>
      <w:r>
        <w:rPr>
          <w:rFonts w:asciiTheme="minorHAnsi" w:hAnsiTheme="minorHAnsi" w:eastAsiaTheme="minorEastAsia" w:cstheme="minorBidi"/>
          <w:b w:val="0"/>
          <w:bCs w:val="0"/>
          <w:szCs w:val="22"/>
        </w:rPr>
        <w:tab/>
      </w:r>
      <w:r>
        <w:rPr>
          <w:rStyle w:val="22"/>
        </w:rPr>
        <w:t>绿色建筑性能评估得分</w:t>
      </w:r>
      <w:r>
        <w:tab/>
      </w:r>
      <w:r>
        <w:fldChar w:fldCharType="begin"/>
      </w:r>
      <w:r>
        <w:instrText xml:space="preserve"> PAGEREF _Toc90591012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"_Toc90591013" </w:instrText>
      </w:r>
      <w:r>
        <w:fldChar w:fldCharType="separate"/>
      </w:r>
      <w:r>
        <w:rPr>
          <w:rStyle w:val="22"/>
          <w:lang w:val="en-GB"/>
        </w:rPr>
        <w:t>8.1</w:t>
      </w:r>
      <w:r>
        <w:rPr>
          <w:rFonts w:asciiTheme="minorHAnsi" w:hAnsiTheme="minorHAnsi" w:eastAsiaTheme="minorEastAsia" w:cstheme="minorBidi"/>
          <w:szCs w:val="22"/>
        </w:rPr>
        <w:tab/>
      </w:r>
      <w:r>
        <w:rPr>
          <w:rStyle w:val="22"/>
        </w:rPr>
        <w:t>优化建筑围护结构的热工性能</w:t>
      </w:r>
      <w:r>
        <w:tab/>
      </w:r>
      <w:r>
        <w:fldChar w:fldCharType="begin"/>
      </w:r>
      <w:r>
        <w:instrText xml:space="preserve"> PAGEREF _Toc90591013 \h </w:instrText>
      </w:r>
      <w:r>
        <w:fldChar w:fldCharType="separate"/>
      </w:r>
      <w:r>
        <w:t>10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"_Toc90591014" </w:instrText>
      </w:r>
      <w:r>
        <w:fldChar w:fldCharType="separate"/>
      </w:r>
      <w:r>
        <w:rPr>
          <w:rStyle w:val="22"/>
        </w:rPr>
        <w:t>9</w:t>
      </w:r>
      <w:r>
        <w:rPr>
          <w:rFonts w:asciiTheme="minorHAnsi" w:hAnsiTheme="minorHAnsi" w:eastAsiaTheme="minorEastAsia" w:cstheme="minorBidi"/>
          <w:b w:val="0"/>
          <w:bCs w:val="0"/>
          <w:szCs w:val="22"/>
        </w:rPr>
        <w:tab/>
      </w:r>
      <w:r>
        <w:rPr>
          <w:rStyle w:val="22"/>
        </w:rPr>
        <w:t>附录</w:t>
      </w:r>
      <w:r>
        <w:tab/>
      </w:r>
      <w:r>
        <w:fldChar w:fldCharType="begin"/>
      </w:r>
      <w:r>
        <w:instrText xml:space="preserve"> PAGEREF _Toc90591014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"_Toc90591015" </w:instrText>
      </w:r>
      <w:r>
        <w:fldChar w:fldCharType="separate"/>
      </w:r>
      <w:r>
        <w:rPr>
          <w:rStyle w:val="22"/>
          <w:lang w:val="en-GB"/>
        </w:rPr>
        <w:t>9.1</w:t>
      </w:r>
      <w:r>
        <w:rPr>
          <w:rFonts w:asciiTheme="minorHAnsi" w:hAnsiTheme="minorHAnsi" w:eastAsiaTheme="minorEastAsia" w:cstheme="minorBidi"/>
          <w:szCs w:val="22"/>
        </w:rPr>
        <w:tab/>
      </w:r>
      <w:r>
        <w:rPr>
          <w:rStyle w:val="22"/>
        </w:rPr>
        <w:t>工作日/节假日人员逐时在室率(%)</w:t>
      </w:r>
      <w:r>
        <w:tab/>
      </w:r>
      <w:r>
        <w:fldChar w:fldCharType="begin"/>
      </w:r>
      <w:r>
        <w:instrText xml:space="preserve"> PAGEREF _Toc90591015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"_Toc90591016" </w:instrText>
      </w:r>
      <w:r>
        <w:fldChar w:fldCharType="separate"/>
      </w:r>
      <w:r>
        <w:rPr>
          <w:rStyle w:val="22"/>
          <w:lang w:val="en-GB"/>
        </w:rPr>
        <w:t>9.2</w:t>
      </w:r>
      <w:r>
        <w:rPr>
          <w:rFonts w:asciiTheme="minorHAnsi" w:hAnsiTheme="minorHAnsi" w:eastAsiaTheme="minorEastAsia" w:cstheme="minorBidi"/>
          <w:szCs w:val="22"/>
        </w:rPr>
        <w:tab/>
      </w:r>
      <w:r>
        <w:rPr>
          <w:rStyle w:val="22"/>
        </w:rPr>
        <w:t>工作日/节假日照明开关时间表(%)</w:t>
      </w:r>
      <w:r>
        <w:tab/>
      </w:r>
      <w:r>
        <w:fldChar w:fldCharType="begin"/>
      </w:r>
      <w:r>
        <w:instrText xml:space="preserve"> PAGEREF _Toc90591016 \h </w:instrText>
      </w:r>
      <w:r>
        <w:fldChar w:fldCharType="separate"/>
      </w:r>
      <w:r>
        <w:t>13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"_Toc90591017" </w:instrText>
      </w:r>
      <w:r>
        <w:fldChar w:fldCharType="separate"/>
      </w:r>
      <w:r>
        <w:rPr>
          <w:rStyle w:val="22"/>
          <w:lang w:val="en-GB"/>
        </w:rPr>
        <w:t>9.3</w:t>
      </w:r>
      <w:r>
        <w:rPr>
          <w:rFonts w:asciiTheme="minorHAnsi" w:hAnsiTheme="minorHAnsi" w:eastAsiaTheme="minorEastAsia" w:cstheme="minorBidi"/>
          <w:szCs w:val="22"/>
        </w:rPr>
        <w:tab/>
      </w:r>
      <w:r>
        <w:rPr>
          <w:rStyle w:val="22"/>
        </w:rPr>
        <w:t>工作日/节假日设备逐时使用率(%)</w:t>
      </w:r>
      <w:r>
        <w:tab/>
      </w:r>
      <w:r>
        <w:fldChar w:fldCharType="begin"/>
      </w:r>
      <w:r>
        <w:instrText xml:space="preserve"> PAGEREF _Toc90591017 \h </w:instrText>
      </w:r>
      <w:r>
        <w:fldChar w:fldCharType="separate"/>
      </w:r>
      <w:r>
        <w:t>14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9059099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福建-南平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479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12.5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1577.30</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764.33</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r>
              <w:t>框架结构</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供冷期:6.15-8.31,供暖期:12.15-1.15</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90590993"/>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《夏热冬冷地区居住建筑节能设计标准》（JGJ 134-2010）</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2" w:name="_Toc13616"/>
      <w:bookmarkStart w:id="33" w:name="_Toc90590994"/>
      <w:r>
        <w:rPr>
          <w:rFonts w:hint="eastAsia"/>
        </w:rPr>
        <w:t>计算要求</w:t>
      </w:r>
      <w:bookmarkEnd w:id="32"/>
      <w:bookmarkEnd w:id="33"/>
    </w:p>
    <w:p>
      <w:pPr>
        <w:pStyle w:val="4"/>
        <w:tabs>
          <w:tab w:val="clear" w:pos="578"/>
        </w:tabs>
        <w:rPr>
          <w:kern w:val="2"/>
          <w:sz w:val="21"/>
        </w:rPr>
      </w:pPr>
      <w:bookmarkStart w:id="34" w:name="_Toc22090"/>
      <w:bookmarkStart w:id="35" w:name="_Toc90590995"/>
      <w:r>
        <w:rPr>
          <w:rFonts w:hint="eastAsia"/>
          <w:kern w:val="2"/>
          <w:sz w:val="21"/>
        </w:rPr>
        <w:t>计算目标</w:t>
      </w:r>
      <w:bookmarkEnd w:id="34"/>
      <w:bookmarkEnd w:id="35"/>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6" w:name="_Toc5419"/>
      <w:bookmarkStart w:id="37" w:name="_Toc90590996"/>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bookmarkEnd w:id="38"/>
    <w:p>
      <w:pPr>
        <w:pStyle w:val="2"/>
      </w:pPr>
      <w:bookmarkStart w:id="39" w:name="_Toc90590997"/>
      <w:r>
        <w:rPr>
          <w:rFonts w:hint="eastAsia"/>
        </w:rPr>
        <w:t>气象数据</w:t>
      </w:r>
      <w:bookmarkEnd w:id="39"/>
    </w:p>
    <w:p>
      <w:pPr>
        <w:pStyle w:val="4"/>
      </w:pPr>
      <w:bookmarkStart w:id="40" w:name="_Toc90590998"/>
      <w:r>
        <w:rPr>
          <w:rFonts w:hint="eastAsia"/>
        </w:rPr>
        <w:t>气象地点</w:t>
      </w:r>
      <w:bookmarkEnd w:id="40"/>
    </w:p>
    <w:p>
      <w:pPr>
        <w:pStyle w:val="3"/>
        <w:ind w:firstLine="420"/>
        <w:rPr>
          <w:lang w:val="en-US"/>
        </w:rPr>
      </w:pPr>
      <w:bookmarkStart w:id="41" w:name="气象数据来源"/>
      <w:r>
        <w:t>福建-南平, 《建筑节能气象参数标准》</w:t>
      </w:r>
      <w:bookmarkEnd w:id="41"/>
    </w:p>
    <w:p>
      <w:pPr>
        <w:pStyle w:val="4"/>
      </w:pPr>
      <w:bookmarkStart w:id="42" w:name="_Toc90590999"/>
      <w:r>
        <w:rPr>
          <w:rFonts w:hint="eastAsia"/>
        </w:rPr>
        <w:t>逐日干球温度表</w:t>
      </w:r>
      <w:bookmarkEnd w:id="42"/>
    </w:p>
    <w:p>
      <w:pPr>
        <w:pStyle w:val="3"/>
        <w:ind w:firstLine="0" w:firstLineChars="0"/>
        <w:rPr>
          <w:lang w:val="en-US"/>
        </w:rPr>
      </w:pPr>
      <w:bookmarkStart w:id="43" w:name="日均干球温度变化表"/>
      <w:bookmarkEnd w:id="43"/>
      <w:r>
        <w:drawing>
          <wp:inline distT="0" distB="0" distL="0" distR="0">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2781300"/>
                    </a:xfrm>
                    <a:prstGeom prst="rect">
                      <a:avLst/>
                    </a:prstGeom>
                  </pic:spPr>
                </pic:pic>
              </a:graphicData>
            </a:graphic>
          </wp:inline>
        </w:drawing>
      </w:r>
    </w:p>
    <w:p>
      <w:pPr>
        <w:pStyle w:val="4"/>
      </w:pPr>
      <w:bookmarkStart w:id="44" w:name="_Toc90591000"/>
      <w:r>
        <w:rPr>
          <w:rFonts w:hint="eastAsia"/>
        </w:rPr>
        <w:t>逐月辐照量表</w:t>
      </w:r>
      <w:bookmarkEnd w:id="44"/>
    </w:p>
    <w:p>
      <w:pPr>
        <w:pStyle w:val="3"/>
        <w:ind w:firstLine="0" w:firstLineChars="0"/>
        <w:rPr>
          <w:lang w:val="en-US"/>
        </w:rPr>
      </w:pPr>
      <w:bookmarkStart w:id="45" w:name="逐月辐照量图表"/>
      <w:bookmarkEnd w:id="45"/>
      <w:r>
        <w:drawing>
          <wp:inline distT="0" distB="0" distL="0" distR="0">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2505075"/>
                    </a:xfrm>
                    <a:prstGeom prst="rect">
                      <a:avLst/>
                    </a:prstGeom>
                  </pic:spPr>
                </pic:pic>
              </a:graphicData>
            </a:graphic>
          </wp:inline>
        </w:drawing>
      </w:r>
    </w:p>
    <w:p>
      <w:pPr>
        <w:pStyle w:val="4"/>
      </w:pPr>
      <w:bookmarkStart w:id="46" w:name="_Toc90591001"/>
      <w:r>
        <w:rPr>
          <w:rFonts w:hint="eastAsia"/>
        </w:rPr>
        <w:t>峰值工况</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07月26日14时</w:t>
            </w:r>
          </w:p>
        </w:tc>
        <w:tc>
          <w:tcPr>
            <w:tcW w:w="1556" w:type="dxa"/>
            <w:vAlign w:val="center"/>
          </w:tcPr>
          <w:p>
            <w:r>
              <w:t>39.4</w:t>
            </w:r>
          </w:p>
        </w:tc>
        <w:tc>
          <w:tcPr>
            <w:tcW w:w="1556" w:type="dxa"/>
            <w:vAlign w:val="center"/>
          </w:tcPr>
          <w:p>
            <w:r>
              <w:t>27.2</w:t>
            </w:r>
          </w:p>
        </w:tc>
        <w:tc>
          <w:tcPr>
            <w:tcW w:w="1556" w:type="dxa"/>
            <w:vAlign w:val="center"/>
          </w:tcPr>
          <w:p>
            <w:r>
              <w:t>18.2</w:t>
            </w:r>
          </w:p>
        </w:tc>
        <w:tc>
          <w:tcPr>
            <w:tcW w:w="1556" w:type="dxa"/>
            <w:vAlign w:val="center"/>
          </w:tcPr>
          <w:p>
            <w:r>
              <w:t>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01月27日07时</w:t>
            </w:r>
          </w:p>
        </w:tc>
        <w:tc>
          <w:tcPr>
            <w:tcW w:w="1556" w:type="dxa"/>
            <w:vAlign w:val="center"/>
          </w:tcPr>
          <w:p>
            <w:r>
              <w:t>2.8</w:t>
            </w:r>
          </w:p>
        </w:tc>
        <w:tc>
          <w:tcPr>
            <w:tcW w:w="1556" w:type="dxa"/>
            <w:vAlign w:val="center"/>
          </w:tcPr>
          <w:p>
            <w:r>
              <w:t>0.6</w:t>
            </w:r>
          </w:p>
        </w:tc>
        <w:tc>
          <w:tcPr>
            <w:tcW w:w="1556" w:type="dxa"/>
            <w:vAlign w:val="center"/>
          </w:tcPr>
          <w:p>
            <w:r>
              <w:t>2.8</w:t>
            </w:r>
          </w:p>
        </w:tc>
        <w:tc>
          <w:tcPr>
            <w:tcW w:w="1556" w:type="dxa"/>
            <w:vAlign w:val="center"/>
          </w:tcPr>
          <w:p>
            <w:r>
              <w:t>9.8</w:t>
            </w:r>
          </w:p>
        </w:tc>
      </w:tr>
    </w:tbl>
    <w:p>
      <w:pPr>
        <w:pStyle w:val="2"/>
        <w:widowControl w:val="0"/>
        <w:jc w:val="both"/>
      </w:pPr>
      <w:bookmarkStart w:id="47" w:name="气象峰值工况"/>
      <w:bookmarkEnd w:id="47"/>
      <w:bookmarkStart w:id="48" w:name="_Toc90591002"/>
      <w:r>
        <w:t>围护结构</w:t>
      </w:r>
      <w:bookmarkEnd w:id="48"/>
    </w:p>
    <w:p>
      <w:pPr>
        <w:pStyle w:val="4"/>
        <w:widowControl w:val="0"/>
      </w:pPr>
      <w:bookmarkStart w:id="49" w:name="_Toc90591003"/>
      <w:r>
        <w:t>工程材料</w:t>
      </w:r>
      <w:bookmarkEnd w:id="4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加气混凝土、泡沫混凝土(ρ=700)</w:t>
            </w:r>
          </w:p>
        </w:tc>
        <w:tc>
          <w:tcPr>
            <w:tcW w:w="1018" w:type="dxa"/>
            <w:vAlign w:val="center"/>
          </w:tcPr>
          <w:p>
            <w:r>
              <w:t>0.180</w:t>
            </w:r>
          </w:p>
        </w:tc>
        <w:tc>
          <w:tcPr>
            <w:tcW w:w="1030" w:type="dxa"/>
            <w:vAlign w:val="center"/>
          </w:tcPr>
          <w:p>
            <w:r>
              <w:t>3.100</w:t>
            </w:r>
          </w:p>
        </w:tc>
        <w:tc>
          <w:tcPr>
            <w:tcW w:w="848" w:type="dxa"/>
            <w:vAlign w:val="center"/>
          </w:tcPr>
          <w:p>
            <w:r>
              <w:t>700.0</w:t>
            </w:r>
          </w:p>
        </w:tc>
        <w:tc>
          <w:tcPr>
            <w:tcW w:w="1018" w:type="dxa"/>
            <w:vAlign w:val="center"/>
          </w:tcPr>
          <w:p>
            <w:r>
              <w:t>1050.0</w:t>
            </w:r>
          </w:p>
        </w:tc>
        <w:tc>
          <w:tcPr>
            <w:tcW w:w="1188" w:type="dxa"/>
            <w:vAlign w:val="center"/>
          </w:tcPr>
          <w:p>
            <w:r>
              <w:t>0.0998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保温砂浆(K=0.06)</w:t>
            </w:r>
          </w:p>
        </w:tc>
        <w:tc>
          <w:tcPr>
            <w:tcW w:w="1018" w:type="dxa"/>
            <w:vAlign w:val="center"/>
          </w:tcPr>
          <w:p>
            <w:r>
              <w:t>0.060</w:t>
            </w:r>
          </w:p>
        </w:tc>
        <w:tc>
          <w:tcPr>
            <w:tcW w:w="1030" w:type="dxa"/>
            <w:vAlign w:val="center"/>
          </w:tcPr>
          <w:p>
            <w:r>
              <w:t>0.950</w:t>
            </w:r>
          </w:p>
        </w:tc>
        <w:tc>
          <w:tcPr>
            <w:tcW w:w="848" w:type="dxa"/>
            <w:vAlign w:val="center"/>
          </w:tcPr>
          <w:p>
            <w:r>
              <w:t>800.0</w:t>
            </w:r>
          </w:p>
        </w:tc>
        <w:tc>
          <w:tcPr>
            <w:tcW w:w="1018" w:type="dxa"/>
            <w:vAlign w:val="center"/>
          </w:tcPr>
          <w:p>
            <w:r>
              <w:t>258.5</w:t>
            </w:r>
          </w:p>
        </w:tc>
        <w:tc>
          <w:tcPr>
            <w:tcW w:w="1188" w:type="dxa"/>
            <w:vAlign w:val="center"/>
          </w:tcPr>
          <w:p>
            <w:r>
              <w:t>0.0000</w:t>
            </w:r>
          </w:p>
        </w:tc>
        <w:tc>
          <w:tcPr>
            <w:tcW w:w="1516" w:type="dxa"/>
            <w:vAlign w:val="center"/>
          </w:tcPr>
          <w:p>
            <w:r>
              <w:rPr>
                <w:sz w:val="18"/>
                <w:szCs w:val="18"/>
              </w:rPr>
              <w:t>修正系数:室外1.15  室内1.1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自保温混凝土复合砌块（Ⅰa）</w:t>
            </w:r>
          </w:p>
        </w:tc>
        <w:tc>
          <w:tcPr>
            <w:tcW w:w="1018" w:type="dxa"/>
            <w:vAlign w:val="center"/>
          </w:tcPr>
          <w:p>
            <w:r>
              <w:t>0.310</w:t>
            </w:r>
          </w:p>
        </w:tc>
        <w:tc>
          <w:tcPr>
            <w:tcW w:w="1030" w:type="dxa"/>
            <w:vAlign w:val="center"/>
          </w:tcPr>
          <w:p>
            <w:r>
              <w:t>4.390</w:t>
            </w:r>
          </w:p>
        </w:tc>
        <w:tc>
          <w:tcPr>
            <w:tcW w:w="848" w:type="dxa"/>
            <w:vAlign w:val="center"/>
          </w:tcPr>
          <w:p>
            <w:r>
              <w:t>900.0</w:t>
            </w:r>
          </w:p>
        </w:tc>
        <w:tc>
          <w:tcPr>
            <w:tcW w:w="1018" w:type="dxa"/>
            <w:vAlign w:val="center"/>
          </w:tcPr>
          <w:p>
            <w:r>
              <w:t>949.9</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水泥砂浆（1）</w:t>
            </w:r>
          </w:p>
        </w:tc>
        <w:tc>
          <w:tcPr>
            <w:tcW w:w="1018" w:type="dxa"/>
            <w:vAlign w:val="center"/>
          </w:tcPr>
          <w:p>
            <w:r>
              <w:t>0.930</w:t>
            </w:r>
          </w:p>
        </w:tc>
        <w:tc>
          <w:tcPr>
            <w:tcW w:w="1030" w:type="dxa"/>
            <w:vAlign w:val="center"/>
          </w:tcPr>
          <w:p>
            <w:r>
              <w:t>10.112</w:t>
            </w:r>
          </w:p>
        </w:tc>
        <w:tc>
          <w:tcPr>
            <w:tcW w:w="848" w:type="dxa"/>
            <w:vAlign w:val="center"/>
          </w:tcPr>
          <w:p>
            <w:r>
              <w:t>1800.0</w:t>
            </w:r>
          </w:p>
        </w:tc>
        <w:tc>
          <w:tcPr>
            <w:tcW w:w="1018" w:type="dxa"/>
            <w:vAlign w:val="center"/>
          </w:tcPr>
          <w:p>
            <w:r>
              <w:t>840.0</w:t>
            </w:r>
          </w:p>
        </w:tc>
        <w:tc>
          <w:tcPr>
            <w:tcW w:w="1188" w:type="dxa"/>
            <w:vAlign w:val="center"/>
          </w:tcPr>
          <w:p>
            <w:r>
              <w:t>0.0000</w:t>
            </w:r>
          </w:p>
        </w:tc>
        <w:tc>
          <w:tcPr>
            <w:tcW w:w="1516" w:type="dxa"/>
            <w:vAlign w:val="center"/>
          </w:tcPr>
          <w:p>
            <w:r>
              <w:rPr>
                <w:sz w:val="18"/>
                <w:szCs w:val="18"/>
              </w:rPr>
              <w:t>建筑材料手册（第四版）</w:t>
            </w:r>
          </w:p>
        </w:tc>
      </w:tr>
    </w:tbl>
    <w:p>
      <w:pPr>
        <w:pStyle w:val="2"/>
        <w:widowControl w:val="0"/>
        <w:jc w:val="both"/>
      </w:pPr>
      <w:bookmarkStart w:id="50" w:name="_Toc90591004"/>
      <w:r>
        <w:t>房间类型</w:t>
      </w:r>
      <w:bookmarkEnd w:id="50"/>
    </w:p>
    <w:p>
      <w:pPr>
        <w:pStyle w:val="4"/>
        <w:widowControl w:val="0"/>
      </w:pPr>
      <w:bookmarkStart w:id="51" w:name="_Toc90591005"/>
      <w:r>
        <w:t>房间表</w:t>
      </w:r>
      <w:bookmarkEnd w:id="5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主卧室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卫生间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6(W/㎡)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厨房</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6(W/㎡)</w:t>
            </w:r>
          </w:p>
        </w:tc>
        <w:tc>
          <w:tcPr>
            <w:tcW w:w="1131" w:type="dxa"/>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封闭阳台</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楼梯间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0(m</w:t>
            </w:r>
            <w:r>
              <w:rPr>
                <w:vertAlign w:val="superscript"/>
              </w:rPr>
              <w:t>3</w:t>
            </w:r>
            <w:r>
              <w:t>/h.人)</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0(W/㎡)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次卧室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起居室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bl>
    <w:p>
      <w:pPr>
        <w:pStyle w:val="4"/>
        <w:widowControl w:val="0"/>
      </w:pPr>
      <w:bookmarkStart w:id="52" w:name="_Toc90591006"/>
      <w:r>
        <w:t>作息时间表</w:t>
      </w:r>
      <w:bookmarkEnd w:id="52"/>
    </w:p>
    <w:p>
      <w:pPr>
        <w:widowControl w:val="0"/>
        <w:jc w:val="both"/>
      </w:pPr>
      <w:r>
        <w:t>详见附录</w:t>
      </w:r>
    </w:p>
    <w:p>
      <w:pPr>
        <w:pStyle w:val="2"/>
        <w:widowControl w:val="0"/>
        <w:jc w:val="both"/>
      </w:pPr>
      <w:bookmarkStart w:id="53" w:name="_Toc90591007"/>
      <w:r>
        <w:t>计算结果</w:t>
      </w:r>
      <w:bookmarkEnd w:id="53"/>
    </w:p>
    <w:p>
      <w:pPr>
        <w:pStyle w:val="4"/>
        <w:widowControl w:val="0"/>
      </w:pPr>
      <w:bookmarkStart w:id="54" w:name="_Toc90591008"/>
      <w:r>
        <w:t>围护结构热工性能对比</w:t>
      </w:r>
      <w:bookmarkEnd w:id="54"/>
    </w:p>
    <w:p/>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168"/>
        <w:gridCol w:w="864"/>
        <w:gridCol w:w="1022"/>
        <w:gridCol w:w="794"/>
        <w:gridCol w:w="794"/>
        <w:gridCol w:w="771"/>
        <w:gridCol w:w="913"/>
        <w:gridCol w:w="757"/>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bCs/>
                <w:szCs w:val="21"/>
              </w:rPr>
            </w:pPr>
          </w:p>
        </w:tc>
        <w:tc>
          <w:tcPr>
            <w:tcW w:w="1730" w:type="pct"/>
            <w:gridSpan w:val="4"/>
            <w:shd w:val="clear" w:color="auto" w:fill="E6E6E6"/>
            <w:vAlign w:val="center"/>
          </w:tcPr>
          <w:p>
            <w:pPr>
              <w:jc w:val="center"/>
              <w:rPr>
                <w:bCs/>
                <w:szCs w:val="21"/>
              </w:rPr>
            </w:pPr>
            <w:r>
              <w:rPr>
                <w:rFonts w:hAnsi="宋体"/>
                <w:bCs/>
                <w:szCs w:val="21"/>
              </w:rPr>
              <w:t>设计建筑</w:t>
            </w:r>
          </w:p>
        </w:tc>
        <w:tc>
          <w:tcPr>
            <w:tcW w:w="1740" w:type="pct"/>
            <w:gridSpan w:val="4"/>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hAnsi="宋体"/>
                <w:szCs w:val="21"/>
              </w:rPr>
            </w:pPr>
            <w:r>
              <w:rPr>
                <w:rFonts w:hint="eastAsia" w:hAnsi="宋体"/>
                <w:szCs w:val="21"/>
              </w:rPr>
              <w:t>体形系数S</w:t>
            </w:r>
          </w:p>
        </w:tc>
        <w:tc>
          <w:tcPr>
            <w:tcW w:w="1730" w:type="pct"/>
            <w:gridSpan w:val="4"/>
            <w:vAlign w:val="center"/>
          </w:tcPr>
          <w:p>
            <w:pPr>
              <w:jc w:val="center"/>
              <w:rPr>
                <w:szCs w:val="21"/>
              </w:rPr>
            </w:pPr>
            <w:bookmarkStart w:id="55" w:name="体形系数"/>
            <w:r>
              <w:rPr>
                <w:rFonts w:hint="eastAsia"/>
                <w:szCs w:val="21"/>
              </w:rPr>
              <w:t>0.48</w:t>
            </w:r>
            <w:bookmarkEnd w:id="55"/>
          </w:p>
        </w:tc>
        <w:tc>
          <w:tcPr>
            <w:tcW w:w="1740" w:type="pct"/>
            <w:gridSpan w:val="4"/>
            <w:vAlign w:val="center"/>
          </w:tcPr>
          <w:p>
            <w:pPr>
              <w:jc w:val="center"/>
              <w:rPr>
                <w:szCs w:val="21"/>
              </w:rPr>
            </w:pPr>
            <w:bookmarkStart w:id="56" w:name="参照建筑体形系数"/>
            <w:r>
              <w:rPr>
                <w:rFonts w:hint="eastAsia"/>
                <w:szCs w:val="21"/>
              </w:rPr>
              <w:t>0.49</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57" w:name="屋顶K"/>
            <w:r>
              <w:rPr>
                <w:rFonts w:hint="eastAsia"/>
                <w:bCs/>
                <w:szCs w:val="21"/>
              </w:rPr>
              <w:t>0.47(不含反射隔热外饰面附加热阻)</w:t>
            </w:r>
            <w:bookmarkEnd w:id="57"/>
          </w:p>
        </w:tc>
        <w:tc>
          <w:tcPr>
            <w:tcW w:w="1740" w:type="pct"/>
            <w:gridSpan w:val="4"/>
            <w:vAlign w:val="center"/>
          </w:tcPr>
          <w:p>
            <w:pPr>
              <w:jc w:val="center"/>
              <w:rPr>
                <w:szCs w:val="21"/>
              </w:rPr>
            </w:pPr>
            <w:bookmarkStart w:id="58" w:name="参照建筑屋顶K"/>
            <w:r>
              <w:rPr>
                <w:rFonts w:hint="eastAsia"/>
                <w:szCs w:val="21"/>
              </w:rPr>
              <w:t>0.60</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59" w:name="外墙K"/>
            <w:r>
              <w:rPr>
                <w:rFonts w:hint="eastAsia"/>
                <w:bCs/>
                <w:szCs w:val="21"/>
              </w:rPr>
              <w:t>0.85(不含反射隔热外饰面附加热阻)</w:t>
            </w:r>
            <w:bookmarkEnd w:id="59"/>
          </w:p>
        </w:tc>
        <w:tc>
          <w:tcPr>
            <w:tcW w:w="1740" w:type="pct"/>
            <w:gridSpan w:val="4"/>
            <w:vAlign w:val="center"/>
          </w:tcPr>
          <w:p>
            <w:pPr>
              <w:jc w:val="center"/>
              <w:rPr>
                <w:szCs w:val="21"/>
              </w:rPr>
            </w:pPr>
            <w:bookmarkStart w:id="60" w:name="参照建筑外墙K"/>
            <w:r>
              <w:rPr>
                <w:rFonts w:hint="eastAsia"/>
                <w:szCs w:val="21"/>
              </w:rPr>
              <w:t>1.00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61" w:name="天窗K"/>
            <w:r>
              <w:rPr>
                <w:rFonts w:hint="eastAsia"/>
                <w:bCs/>
                <w:szCs w:val="21"/>
              </w:rPr>
              <w:t>－</w:t>
            </w:r>
            <w:bookmarkEnd w:id="61"/>
          </w:p>
        </w:tc>
        <w:tc>
          <w:tcPr>
            <w:tcW w:w="1740" w:type="pct"/>
            <w:gridSpan w:val="4"/>
            <w:vAlign w:val="center"/>
          </w:tcPr>
          <w:p>
            <w:pPr>
              <w:jc w:val="center"/>
              <w:rPr>
                <w:szCs w:val="21"/>
              </w:rPr>
            </w:pPr>
            <w:bookmarkStart w:id="62" w:name="参照建筑天窗K"/>
            <w:r>
              <w:rPr>
                <w:rFonts w:hint="eastAsia"/>
                <w:szCs w:val="21"/>
              </w:rPr>
              <w:t>－</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szCs w:val="21"/>
              </w:rPr>
            </w:pPr>
            <w:r>
              <w:rPr>
                <w:rFonts w:hint="eastAsia"/>
                <w:bCs/>
                <w:szCs w:val="21"/>
              </w:rPr>
              <w:t>屋顶透明部分遮阳系数</w:t>
            </w:r>
          </w:p>
        </w:tc>
        <w:tc>
          <w:tcPr>
            <w:tcW w:w="1730" w:type="pct"/>
            <w:gridSpan w:val="4"/>
            <w:vAlign w:val="center"/>
          </w:tcPr>
          <w:p>
            <w:pPr>
              <w:jc w:val="center"/>
              <w:rPr>
                <w:bCs/>
                <w:szCs w:val="21"/>
              </w:rPr>
            </w:pPr>
            <w:bookmarkStart w:id="63" w:name="天窗SC"/>
            <w:r>
              <w:rPr>
                <w:rFonts w:hint="eastAsia"/>
                <w:bCs/>
                <w:szCs w:val="21"/>
              </w:rPr>
              <w:t>－</w:t>
            </w:r>
            <w:bookmarkEnd w:id="63"/>
          </w:p>
        </w:tc>
        <w:tc>
          <w:tcPr>
            <w:tcW w:w="1740" w:type="pct"/>
            <w:gridSpan w:val="4"/>
            <w:vAlign w:val="center"/>
          </w:tcPr>
          <w:p>
            <w:pPr>
              <w:jc w:val="center"/>
              <w:rPr>
                <w:szCs w:val="21"/>
              </w:rPr>
            </w:pPr>
            <w:bookmarkStart w:id="64" w:name="参照建筑天窗SC"/>
            <w:r>
              <w:rPr>
                <w:rFonts w:hint="eastAsia"/>
                <w:szCs w:val="21"/>
              </w:rPr>
              <w:t>－</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65" w:name="挑空楼板K"/>
            <w:r>
              <w:rPr>
                <w:rFonts w:hint="eastAsia"/>
                <w:bCs/>
                <w:szCs w:val="21"/>
              </w:rPr>
              <w:t>－</w:t>
            </w:r>
            <w:bookmarkEnd w:id="65"/>
          </w:p>
        </w:tc>
        <w:tc>
          <w:tcPr>
            <w:tcW w:w="1740" w:type="pct"/>
            <w:gridSpan w:val="4"/>
            <w:vAlign w:val="center"/>
          </w:tcPr>
          <w:p>
            <w:pPr>
              <w:jc w:val="center"/>
              <w:rPr>
                <w:szCs w:val="21"/>
              </w:rPr>
            </w:pPr>
            <w:bookmarkStart w:id="66" w:name="参照建筑挑空楼板K"/>
            <w:r>
              <w:rPr>
                <w:rFonts w:hint="eastAsia"/>
                <w:szCs w:val="21"/>
              </w:rPr>
              <w:t>－</w:t>
            </w:r>
            <w:bookmarkEnd w:id="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hAnsi="宋体"/>
                <w:szCs w:val="21"/>
              </w:rPr>
            </w:pPr>
            <w:r>
              <w:rPr>
                <w:rFonts w:hint="eastAsia" w:hAnsi="宋体"/>
                <w:szCs w:val="21"/>
              </w:rPr>
              <w:t>楼板</w:t>
            </w: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67" w:name="楼板K"/>
            <w:r>
              <w:rPr>
                <w:rFonts w:hint="eastAsia"/>
                <w:bCs/>
                <w:szCs w:val="21"/>
              </w:rPr>
              <w:t>1.50</w:t>
            </w:r>
            <w:bookmarkEnd w:id="67"/>
          </w:p>
        </w:tc>
        <w:tc>
          <w:tcPr>
            <w:tcW w:w="1740" w:type="pct"/>
            <w:gridSpan w:val="4"/>
            <w:vAlign w:val="center"/>
          </w:tcPr>
          <w:p>
            <w:pPr>
              <w:jc w:val="center"/>
              <w:rPr>
                <w:bCs/>
                <w:szCs w:val="21"/>
              </w:rPr>
            </w:pPr>
            <w:bookmarkStart w:id="68" w:name="参照建筑楼板K"/>
            <w:r>
              <w:rPr>
                <w:rFonts w:hint="eastAsia"/>
                <w:bCs/>
                <w:szCs w:val="21"/>
              </w:rPr>
              <w:t>2.00</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hAnsi="宋体"/>
                <w:szCs w:val="21"/>
              </w:rPr>
            </w:pPr>
            <w:r>
              <w:rPr>
                <w:rFonts w:hint="eastAsia" w:hAnsi="宋体"/>
                <w:szCs w:val="21"/>
              </w:rPr>
              <w:t>分户墙</w:t>
            </w:r>
            <w:r>
              <w:rPr>
                <w:szCs w:val="21"/>
              </w:rPr>
              <w:t>K [W/(m</w:t>
            </w:r>
            <w:r>
              <w:rPr>
                <w:szCs w:val="21"/>
                <w:vertAlign w:val="superscript"/>
              </w:rPr>
              <w:t>2</w:t>
            </w:r>
            <w:r>
              <w:rPr>
                <w:szCs w:val="21"/>
              </w:rPr>
              <w:t>·K)]</w:t>
            </w:r>
          </w:p>
        </w:tc>
        <w:tc>
          <w:tcPr>
            <w:tcW w:w="1730" w:type="pct"/>
            <w:gridSpan w:val="4"/>
            <w:vAlign w:val="center"/>
          </w:tcPr>
          <w:p>
            <w:pPr>
              <w:jc w:val="center"/>
              <w:rPr>
                <w:bCs/>
                <w:szCs w:val="21"/>
              </w:rPr>
            </w:pPr>
            <w:bookmarkStart w:id="69" w:name="分户墙K"/>
            <w:r>
              <w:rPr>
                <w:rFonts w:hint="eastAsia"/>
                <w:bCs/>
                <w:szCs w:val="21"/>
              </w:rPr>
              <w:t>1.93</w:t>
            </w:r>
            <w:bookmarkEnd w:id="69"/>
          </w:p>
        </w:tc>
        <w:tc>
          <w:tcPr>
            <w:tcW w:w="1740" w:type="pct"/>
            <w:gridSpan w:val="4"/>
            <w:vAlign w:val="center"/>
          </w:tcPr>
          <w:p>
            <w:pPr>
              <w:jc w:val="center"/>
              <w:rPr>
                <w:bCs/>
                <w:szCs w:val="21"/>
              </w:rPr>
            </w:pPr>
            <w:bookmarkStart w:id="70" w:name="参照建筑分户墙K"/>
            <w:r>
              <w:rPr>
                <w:rFonts w:hint="eastAsia"/>
                <w:bCs/>
                <w:szCs w:val="21"/>
              </w:rPr>
              <w:t>2.00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pPr>
              <w:jc w:val="center"/>
              <w:rPr>
                <w:bCs/>
                <w:szCs w:val="21"/>
              </w:rPr>
            </w:pPr>
            <w:r>
              <w:rPr>
                <w:rFonts w:hint="eastAsia"/>
                <w:bCs/>
                <w:szCs w:val="21"/>
              </w:rPr>
              <w:t>朝向</w:t>
            </w:r>
          </w:p>
        </w:tc>
        <w:tc>
          <w:tcPr>
            <w:tcW w:w="450" w:type="pct"/>
            <w:vMerge w:val="restart"/>
            <w:shd w:val="clear" w:color="auto" w:fill="E6E6E6"/>
            <w:vAlign w:val="center"/>
          </w:tcPr>
          <w:p>
            <w:pPr>
              <w:jc w:val="center"/>
              <w:rPr>
                <w:bCs/>
                <w:szCs w:val="21"/>
              </w:rPr>
            </w:pPr>
            <w:r>
              <w:rPr>
                <w:rFonts w:hint="eastAsia"/>
                <w:bCs/>
                <w:szCs w:val="21"/>
              </w:rPr>
              <w:t>窗墙比</w:t>
            </w:r>
          </w:p>
        </w:tc>
        <w:tc>
          <w:tcPr>
            <w:tcW w:w="531" w:type="pct"/>
            <w:vMerge w:val="restar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749" w:type="pct"/>
            <w:gridSpan w:val="2"/>
            <w:shd w:val="clear" w:color="auto" w:fill="E6E6E6"/>
            <w:vAlign w:val="center"/>
          </w:tcPr>
          <w:p>
            <w:pPr>
              <w:jc w:val="center"/>
              <w:rPr>
                <w:bCs/>
                <w:sz w:val="18"/>
                <w:szCs w:val="18"/>
              </w:rPr>
            </w:pPr>
            <w:r>
              <w:rPr>
                <w:rFonts w:hint="eastAsia"/>
                <w:bCs/>
                <w:sz w:val="18"/>
                <w:szCs w:val="18"/>
              </w:rPr>
              <w:t>遮阳系数</w:t>
            </w:r>
          </w:p>
        </w:tc>
        <w:tc>
          <w:tcPr>
            <w:tcW w:w="402" w:type="pct"/>
            <w:vMerge w:val="restart"/>
            <w:shd w:val="clear" w:color="auto" w:fill="E6E6E6"/>
            <w:vAlign w:val="center"/>
          </w:tcPr>
          <w:p>
            <w:pPr>
              <w:jc w:val="center"/>
              <w:rPr>
                <w:bCs/>
                <w:szCs w:val="21"/>
              </w:rPr>
            </w:pPr>
            <w:r>
              <w:rPr>
                <w:rFonts w:hint="eastAsia"/>
                <w:bCs/>
                <w:szCs w:val="21"/>
              </w:rPr>
              <w:t>窗墙比</w:t>
            </w:r>
          </w:p>
        </w:tc>
        <w:tc>
          <w:tcPr>
            <w:tcW w:w="475" w:type="pct"/>
            <w:vMerge w:val="restar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864" w:type="pct"/>
            <w:gridSpan w:val="2"/>
            <w:shd w:val="clear" w:color="auto" w:fill="E6E6E6"/>
            <w:vAlign w:val="center"/>
          </w:tcPr>
          <w:p>
            <w:pPr>
              <w:jc w:val="center"/>
              <w:rPr>
                <w:bCs/>
                <w:sz w:val="18"/>
                <w:szCs w:val="18"/>
              </w:rPr>
            </w:pPr>
            <w:r>
              <w:rPr>
                <w:rFonts w:hint="eastAsia"/>
                <w:bCs/>
                <w:sz w:val="18"/>
                <w:szCs w:val="18"/>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szCs w:val="21"/>
              </w:rPr>
            </w:pPr>
          </w:p>
        </w:tc>
        <w:tc>
          <w:tcPr>
            <w:tcW w:w="606" w:type="pct"/>
            <w:vMerge w:val="continue"/>
            <w:shd w:val="clear" w:color="auto" w:fill="E6E6E6"/>
            <w:vAlign w:val="center"/>
          </w:tcPr>
          <w:p>
            <w:pPr>
              <w:jc w:val="center"/>
              <w:rPr>
                <w:bCs/>
                <w:szCs w:val="21"/>
              </w:rPr>
            </w:pPr>
          </w:p>
        </w:tc>
        <w:tc>
          <w:tcPr>
            <w:tcW w:w="450" w:type="pct"/>
            <w:vMerge w:val="continue"/>
            <w:shd w:val="clear" w:color="auto" w:fill="E6E6E6"/>
            <w:vAlign w:val="center"/>
          </w:tcPr>
          <w:p>
            <w:pPr>
              <w:jc w:val="center"/>
              <w:rPr>
                <w:bCs/>
                <w:szCs w:val="21"/>
              </w:rPr>
            </w:pPr>
          </w:p>
        </w:tc>
        <w:tc>
          <w:tcPr>
            <w:tcW w:w="531" w:type="pct"/>
            <w:vMerge w:val="continue"/>
            <w:shd w:val="clear" w:color="auto" w:fill="E6E6E6"/>
            <w:vAlign w:val="center"/>
          </w:tcPr>
          <w:p>
            <w:pPr>
              <w:jc w:val="center"/>
              <w:rPr>
                <w:bCs/>
                <w:szCs w:val="21"/>
              </w:rPr>
            </w:pPr>
          </w:p>
        </w:tc>
        <w:tc>
          <w:tcPr>
            <w:tcW w:w="361" w:type="pct"/>
            <w:shd w:val="clear" w:color="auto" w:fill="E6E6E6"/>
            <w:vAlign w:val="center"/>
          </w:tcPr>
          <w:p>
            <w:pPr>
              <w:jc w:val="center"/>
              <w:rPr>
                <w:bCs/>
                <w:sz w:val="18"/>
                <w:szCs w:val="18"/>
              </w:rPr>
            </w:pPr>
            <w:r>
              <w:rPr>
                <w:rFonts w:hint="eastAsia"/>
                <w:bCs/>
                <w:sz w:val="18"/>
                <w:szCs w:val="18"/>
              </w:rPr>
              <w:t>夏季</w:t>
            </w:r>
          </w:p>
        </w:tc>
        <w:tc>
          <w:tcPr>
            <w:tcW w:w="388" w:type="pct"/>
            <w:shd w:val="clear" w:color="auto" w:fill="E6E6E6"/>
            <w:vAlign w:val="center"/>
          </w:tcPr>
          <w:p>
            <w:pPr>
              <w:jc w:val="center"/>
              <w:rPr>
                <w:bCs/>
                <w:sz w:val="18"/>
                <w:szCs w:val="18"/>
              </w:rPr>
            </w:pPr>
            <w:r>
              <w:rPr>
                <w:rFonts w:hint="eastAsia"/>
                <w:bCs/>
                <w:sz w:val="18"/>
                <w:szCs w:val="18"/>
              </w:rPr>
              <w:t>冬季</w:t>
            </w:r>
          </w:p>
        </w:tc>
        <w:tc>
          <w:tcPr>
            <w:tcW w:w="402" w:type="pct"/>
            <w:vMerge w:val="continue"/>
            <w:shd w:val="clear" w:color="auto" w:fill="E6E6E6"/>
            <w:vAlign w:val="center"/>
          </w:tcPr>
          <w:p>
            <w:pPr>
              <w:jc w:val="center"/>
              <w:rPr>
                <w:bCs/>
                <w:szCs w:val="21"/>
              </w:rPr>
            </w:pPr>
          </w:p>
        </w:tc>
        <w:tc>
          <w:tcPr>
            <w:tcW w:w="475" w:type="pct"/>
            <w:vMerge w:val="continue"/>
            <w:shd w:val="clear" w:color="auto" w:fill="E6E6E6"/>
            <w:vAlign w:val="center"/>
          </w:tcPr>
          <w:p>
            <w:pPr>
              <w:jc w:val="center"/>
              <w:rPr>
                <w:bCs/>
                <w:szCs w:val="21"/>
              </w:rPr>
            </w:pPr>
          </w:p>
        </w:tc>
        <w:tc>
          <w:tcPr>
            <w:tcW w:w="395" w:type="pct"/>
            <w:shd w:val="clear" w:color="auto" w:fill="E6E6E6"/>
            <w:vAlign w:val="center"/>
          </w:tcPr>
          <w:p>
            <w:pPr>
              <w:jc w:val="center"/>
              <w:rPr>
                <w:bCs/>
                <w:sz w:val="18"/>
                <w:szCs w:val="18"/>
              </w:rPr>
            </w:pPr>
            <w:r>
              <w:rPr>
                <w:rFonts w:hint="eastAsia"/>
                <w:bCs/>
                <w:sz w:val="18"/>
                <w:szCs w:val="18"/>
              </w:rPr>
              <w:t>夏季</w:t>
            </w:r>
          </w:p>
        </w:tc>
        <w:tc>
          <w:tcPr>
            <w:tcW w:w="468" w:type="pct"/>
            <w:shd w:val="clear" w:color="auto" w:fill="E6E6E6"/>
            <w:vAlign w:val="center"/>
          </w:tcPr>
          <w:p>
            <w:pPr>
              <w:jc w:val="center"/>
              <w:rPr>
                <w:bCs/>
                <w:sz w:val="18"/>
                <w:szCs w:val="18"/>
              </w:rPr>
            </w:pPr>
            <w:r>
              <w:rPr>
                <w:rFonts w:hint="eastAsia"/>
                <w:bCs/>
                <w:sz w:val="18"/>
                <w:szCs w:val="18"/>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bCs/>
                <w:szCs w:val="21"/>
              </w:rPr>
            </w:pPr>
          </w:p>
        </w:tc>
        <w:tc>
          <w:tcPr>
            <w:tcW w:w="606" w:type="pct"/>
            <w:shd w:val="clear" w:color="auto" w:fill="E6E6E6"/>
            <w:vAlign w:val="center"/>
          </w:tcPr>
          <w:p>
            <w:pPr>
              <w:jc w:val="center"/>
              <w:rPr>
                <w:bCs/>
                <w:szCs w:val="21"/>
              </w:rPr>
            </w:pPr>
            <w:r>
              <w:rPr>
                <w:rFonts w:hAnsi="宋体"/>
                <w:bCs/>
                <w:szCs w:val="21"/>
              </w:rPr>
              <w:t>南向</w:t>
            </w:r>
          </w:p>
        </w:tc>
        <w:tc>
          <w:tcPr>
            <w:tcW w:w="450" w:type="pct"/>
            <w:vAlign w:val="center"/>
          </w:tcPr>
          <w:p>
            <w:pPr>
              <w:jc w:val="center"/>
              <w:rPr>
                <w:bCs/>
                <w:szCs w:val="21"/>
              </w:rPr>
            </w:pPr>
            <w:bookmarkStart w:id="71" w:name="窗墙比－南向"/>
            <w:r>
              <w:rPr>
                <w:rFonts w:hint="eastAsia"/>
                <w:bCs/>
                <w:szCs w:val="21"/>
              </w:rPr>
              <w:t>0.27</w:t>
            </w:r>
            <w:bookmarkEnd w:id="71"/>
          </w:p>
        </w:tc>
        <w:tc>
          <w:tcPr>
            <w:tcW w:w="531" w:type="pct"/>
            <w:vAlign w:val="center"/>
          </w:tcPr>
          <w:p>
            <w:pPr>
              <w:jc w:val="center"/>
              <w:rPr>
                <w:bCs/>
                <w:szCs w:val="21"/>
              </w:rPr>
            </w:pPr>
            <w:r>
              <w:rPr>
                <w:rFonts w:hint="eastAsia"/>
                <w:bCs/>
                <w:szCs w:val="21"/>
              </w:rPr>
              <w:t>普窗</w:t>
            </w:r>
            <w:bookmarkStart w:id="72" w:name="外窗K－南向"/>
            <w:r>
              <w:rPr>
                <w:rFonts w:hint="eastAsia"/>
                <w:bCs/>
                <w:szCs w:val="21"/>
              </w:rPr>
              <w:t>2.27</w:t>
            </w:r>
            <w:bookmarkEnd w:id="72"/>
            <w:r>
              <w:rPr>
                <w:rFonts w:hint="eastAsia"/>
                <w:bCs/>
                <w:szCs w:val="21"/>
              </w:rPr>
              <w:t>、</w:t>
            </w:r>
          </w:p>
          <w:p>
            <w:pPr>
              <w:jc w:val="center"/>
              <w:rPr>
                <w:bCs/>
                <w:szCs w:val="21"/>
              </w:rPr>
            </w:pPr>
            <w:r>
              <w:rPr>
                <w:rFonts w:hint="eastAsia"/>
                <w:bCs/>
                <w:szCs w:val="21"/>
              </w:rPr>
              <w:t>凸窗</w:t>
            </w:r>
            <w:bookmarkStart w:id="73" w:name="凸窗K－南向"/>
            <w:r>
              <w:rPr>
                <w:rFonts w:hint="eastAsia"/>
                <w:bCs/>
                <w:szCs w:val="21"/>
              </w:rPr>
              <w:t>2.27</w:t>
            </w:r>
            <w:bookmarkEnd w:id="73"/>
          </w:p>
        </w:tc>
        <w:tc>
          <w:tcPr>
            <w:tcW w:w="361" w:type="pct"/>
            <w:vAlign w:val="center"/>
          </w:tcPr>
          <w:p>
            <w:pPr>
              <w:jc w:val="center"/>
              <w:rPr>
                <w:bCs/>
                <w:szCs w:val="21"/>
              </w:rPr>
            </w:pPr>
            <w:r>
              <w:rPr>
                <w:rFonts w:hint="eastAsia"/>
                <w:bCs/>
                <w:szCs w:val="21"/>
              </w:rPr>
              <w:t>普窗</w:t>
            </w:r>
            <w:bookmarkStart w:id="74" w:name="外窗SC－夏季－南向"/>
            <w:r>
              <w:rPr>
                <w:rFonts w:hint="eastAsia"/>
                <w:bCs/>
                <w:szCs w:val="21"/>
              </w:rPr>
              <w:t>0.54</w:t>
            </w:r>
            <w:bookmarkEnd w:id="74"/>
            <w:r>
              <w:rPr>
                <w:rFonts w:hint="eastAsia"/>
                <w:bCs/>
                <w:szCs w:val="21"/>
              </w:rPr>
              <w:t>、</w:t>
            </w:r>
          </w:p>
          <w:p>
            <w:pPr>
              <w:jc w:val="center"/>
              <w:rPr>
                <w:bCs/>
                <w:szCs w:val="21"/>
              </w:rPr>
            </w:pPr>
            <w:r>
              <w:rPr>
                <w:rFonts w:hint="eastAsia"/>
                <w:bCs/>
                <w:szCs w:val="21"/>
              </w:rPr>
              <w:t>凸窗</w:t>
            </w:r>
            <w:bookmarkStart w:id="75" w:name="凸窗SC－夏季－南向"/>
            <w:r>
              <w:rPr>
                <w:rFonts w:hint="eastAsia"/>
                <w:bCs/>
                <w:szCs w:val="21"/>
              </w:rPr>
              <w:t>0.54</w:t>
            </w:r>
            <w:bookmarkEnd w:id="75"/>
          </w:p>
        </w:tc>
        <w:tc>
          <w:tcPr>
            <w:tcW w:w="388" w:type="pct"/>
            <w:vAlign w:val="center"/>
          </w:tcPr>
          <w:p>
            <w:pPr>
              <w:jc w:val="center"/>
              <w:rPr>
                <w:bCs/>
                <w:szCs w:val="21"/>
              </w:rPr>
            </w:pPr>
            <w:r>
              <w:rPr>
                <w:rFonts w:hint="eastAsia"/>
                <w:bCs/>
                <w:szCs w:val="21"/>
              </w:rPr>
              <w:t>普</w:t>
            </w:r>
            <w:r>
              <w:rPr>
                <w:bCs/>
                <w:szCs w:val="21"/>
              </w:rPr>
              <w:t>窗</w:t>
            </w:r>
            <w:bookmarkStart w:id="76" w:name="外窗SC－冬季－南向"/>
            <w:r>
              <w:rPr>
                <w:rFonts w:hint="eastAsia"/>
                <w:bCs/>
                <w:szCs w:val="21"/>
              </w:rPr>
              <w:t>0.54</w:t>
            </w:r>
            <w:bookmarkEnd w:id="76"/>
            <w:r>
              <w:rPr>
                <w:rFonts w:hint="eastAsia"/>
                <w:bCs/>
                <w:szCs w:val="21"/>
              </w:rPr>
              <w:t>、</w:t>
            </w:r>
          </w:p>
          <w:p>
            <w:pPr>
              <w:jc w:val="center"/>
              <w:rPr>
                <w:bCs/>
                <w:szCs w:val="21"/>
              </w:rPr>
            </w:pPr>
            <w:r>
              <w:rPr>
                <w:rFonts w:hint="eastAsia"/>
                <w:bCs/>
                <w:szCs w:val="21"/>
              </w:rPr>
              <w:t>凸窗</w:t>
            </w:r>
            <w:bookmarkStart w:id="77" w:name="凸窗SC－冬季－南向"/>
            <w:r>
              <w:rPr>
                <w:rFonts w:hint="eastAsia"/>
                <w:bCs/>
                <w:szCs w:val="21"/>
              </w:rPr>
              <w:t>0.54</w:t>
            </w:r>
            <w:bookmarkEnd w:id="77"/>
          </w:p>
        </w:tc>
        <w:tc>
          <w:tcPr>
            <w:tcW w:w="402" w:type="pct"/>
            <w:vAlign w:val="center"/>
          </w:tcPr>
          <w:p>
            <w:pPr>
              <w:jc w:val="center"/>
              <w:rPr>
                <w:bCs/>
                <w:szCs w:val="21"/>
              </w:rPr>
            </w:pPr>
            <w:bookmarkStart w:id="78" w:name="参照建筑窗墙比－南向"/>
            <w:r>
              <w:rPr>
                <w:rFonts w:hint="eastAsia"/>
                <w:bCs/>
                <w:szCs w:val="21"/>
              </w:rPr>
              <w:t>0.27</w:t>
            </w:r>
            <w:bookmarkEnd w:id="78"/>
          </w:p>
        </w:tc>
        <w:tc>
          <w:tcPr>
            <w:tcW w:w="475" w:type="pct"/>
            <w:vAlign w:val="center"/>
          </w:tcPr>
          <w:p>
            <w:pPr>
              <w:jc w:val="center"/>
              <w:rPr>
                <w:bCs/>
                <w:szCs w:val="21"/>
              </w:rPr>
            </w:pPr>
            <w:r>
              <w:rPr>
                <w:rFonts w:hint="eastAsia"/>
                <w:bCs/>
                <w:szCs w:val="21"/>
              </w:rPr>
              <w:t>普窗</w:t>
            </w:r>
            <w:bookmarkStart w:id="79" w:name="参照建筑外窗K－南向"/>
            <w:r>
              <w:rPr>
                <w:rFonts w:hint="eastAsia"/>
                <w:bCs/>
                <w:szCs w:val="21"/>
              </w:rPr>
              <w:t>3.20</w:t>
            </w:r>
            <w:bookmarkEnd w:id="79"/>
            <w:r>
              <w:rPr>
                <w:rFonts w:hint="eastAsia"/>
                <w:bCs/>
                <w:szCs w:val="21"/>
              </w:rPr>
              <w:t>、</w:t>
            </w:r>
          </w:p>
          <w:p>
            <w:pPr>
              <w:jc w:val="center"/>
              <w:rPr>
                <w:bCs/>
                <w:szCs w:val="21"/>
              </w:rPr>
            </w:pPr>
            <w:r>
              <w:rPr>
                <w:rFonts w:hint="eastAsia"/>
                <w:bCs/>
                <w:szCs w:val="21"/>
              </w:rPr>
              <w:t>凸窗</w:t>
            </w:r>
            <w:bookmarkStart w:id="80" w:name="参照建筑凸窗K－南向"/>
            <w:r>
              <w:rPr>
                <w:rFonts w:hint="eastAsia"/>
                <w:bCs/>
                <w:szCs w:val="21"/>
              </w:rPr>
              <w:t>2.88</w:t>
            </w:r>
            <w:bookmarkEnd w:id="80"/>
          </w:p>
        </w:tc>
        <w:tc>
          <w:tcPr>
            <w:tcW w:w="395" w:type="pct"/>
            <w:vAlign w:val="center"/>
          </w:tcPr>
          <w:p>
            <w:pPr>
              <w:jc w:val="center"/>
              <w:rPr>
                <w:bCs/>
                <w:szCs w:val="21"/>
              </w:rPr>
            </w:pPr>
            <w:r>
              <w:rPr>
                <w:rFonts w:hint="eastAsia"/>
                <w:bCs/>
                <w:szCs w:val="21"/>
              </w:rPr>
              <w:t>普窗</w:t>
            </w:r>
            <w:bookmarkStart w:id="81" w:name="参照建筑外窗SC－夏季－南向"/>
            <w:r>
              <w:rPr>
                <w:rFonts w:hint="eastAsia"/>
                <w:bCs/>
                <w:szCs w:val="21"/>
              </w:rPr>
              <w:t>－－</w:t>
            </w:r>
            <w:bookmarkEnd w:id="81"/>
            <w:r>
              <w:rPr>
                <w:rFonts w:hint="eastAsia"/>
                <w:bCs/>
                <w:szCs w:val="21"/>
              </w:rPr>
              <w:t>、</w:t>
            </w:r>
          </w:p>
          <w:p>
            <w:pPr>
              <w:jc w:val="center"/>
              <w:rPr>
                <w:bCs/>
                <w:szCs w:val="21"/>
              </w:rPr>
            </w:pPr>
            <w:r>
              <w:rPr>
                <w:rFonts w:hint="eastAsia"/>
                <w:bCs/>
                <w:szCs w:val="21"/>
              </w:rPr>
              <w:t>凸窗</w:t>
            </w:r>
            <w:bookmarkStart w:id="82" w:name="参照建筑凸窗SC－夏季－南向"/>
            <w:r>
              <w:rPr>
                <w:rFonts w:hint="eastAsia"/>
                <w:bCs/>
                <w:szCs w:val="21"/>
              </w:rPr>
              <w:t>－－</w:t>
            </w:r>
            <w:bookmarkEnd w:id="82"/>
          </w:p>
        </w:tc>
        <w:tc>
          <w:tcPr>
            <w:tcW w:w="468" w:type="pct"/>
            <w:vAlign w:val="center"/>
          </w:tcPr>
          <w:p>
            <w:pPr>
              <w:jc w:val="center"/>
              <w:rPr>
                <w:bCs/>
                <w:szCs w:val="21"/>
              </w:rPr>
            </w:pPr>
            <w:r>
              <w:rPr>
                <w:rFonts w:hint="eastAsia"/>
                <w:bCs/>
                <w:szCs w:val="21"/>
              </w:rPr>
              <w:t>普窗</w:t>
            </w:r>
            <w:bookmarkStart w:id="83" w:name="参照建筑外窗SC－冬季－南向"/>
            <w:r>
              <w:rPr>
                <w:rFonts w:hint="eastAsia"/>
                <w:bCs/>
                <w:szCs w:val="21"/>
              </w:rPr>
              <w:t>－－</w:t>
            </w:r>
            <w:bookmarkEnd w:id="83"/>
            <w:r>
              <w:rPr>
                <w:rFonts w:hint="eastAsia"/>
                <w:bCs/>
                <w:szCs w:val="21"/>
              </w:rPr>
              <w:t>、</w:t>
            </w:r>
          </w:p>
          <w:p>
            <w:pPr>
              <w:jc w:val="center"/>
              <w:rPr>
                <w:bCs/>
                <w:szCs w:val="21"/>
              </w:rPr>
            </w:pPr>
            <w:r>
              <w:rPr>
                <w:rFonts w:hint="eastAsia"/>
                <w:bCs/>
                <w:szCs w:val="21"/>
              </w:rPr>
              <w:t>凸</w:t>
            </w:r>
            <w:r>
              <w:rPr>
                <w:bCs/>
                <w:szCs w:val="21"/>
              </w:rPr>
              <w:t>窗</w:t>
            </w:r>
            <w:bookmarkStart w:id="84" w:name="参照建筑凸窗SC－冬季－南向"/>
            <w:r>
              <w:rPr>
                <w:rFonts w:hint="eastAsia"/>
                <w:bCs/>
                <w:szCs w:val="21"/>
              </w:rPr>
              <w:t>－－</w:t>
            </w:r>
            <w:bookmarkEnd w:id="8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bCs/>
                <w:szCs w:val="21"/>
              </w:rPr>
            </w:pPr>
          </w:p>
        </w:tc>
        <w:tc>
          <w:tcPr>
            <w:tcW w:w="606" w:type="pct"/>
            <w:shd w:val="clear" w:color="auto" w:fill="E6E6E6"/>
            <w:vAlign w:val="center"/>
          </w:tcPr>
          <w:p>
            <w:pPr>
              <w:jc w:val="center"/>
              <w:rPr>
                <w:bCs/>
                <w:szCs w:val="21"/>
              </w:rPr>
            </w:pPr>
            <w:r>
              <w:rPr>
                <w:rFonts w:hAnsi="宋体"/>
                <w:bCs/>
                <w:szCs w:val="21"/>
              </w:rPr>
              <w:t>北向</w:t>
            </w:r>
          </w:p>
        </w:tc>
        <w:tc>
          <w:tcPr>
            <w:tcW w:w="450" w:type="pct"/>
            <w:vAlign w:val="center"/>
          </w:tcPr>
          <w:p>
            <w:pPr>
              <w:jc w:val="center"/>
              <w:rPr>
                <w:bCs/>
                <w:szCs w:val="21"/>
              </w:rPr>
            </w:pPr>
            <w:bookmarkStart w:id="85" w:name="窗墙比－北向"/>
            <w:r>
              <w:rPr>
                <w:rFonts w:hint="eastAsia"/>
                <w:bCs/>
                <w:szCs w:val="21"/>
              </w:rPr>
              <w:t>0.24</w:t>
            </w:r>
            <w:bookmarkEnd w:id="85"/>
          </w:p>
        </w:tc>
        <w:tc>
          <w:tcPr>
            <w:tcW w:w="531" w:type="pct"/>
            <w:vAlign w:val="center"/>
          </w:tcPr>
          <w:p>
            <w:pPr>
              <w:jc w:val="center"/>
              <w:rPr>
                <w:bCs/>
                <w:szCs w:val="21"/>
              </w:rPr>
            </w:pPr>
            <w:r>
              <w:rPr>
                <w:rFonts w:hint="eastAsia"/>
                <w:bCs/>
                <w:szCs w:val="21"/>
              </w:rPr>
              <w:t>普窗</w:t>
            </w:r>
            <w:bookmarkStart w:id="86" w:name="外窗K－北向"/>
            <w:r>
              <w:rPr>
                <w:rFonts w:hint="eastAsia"/>
                <w:bCs/>
                <w:szCs w:val="21"/>
              </w:rPr>
              <w:t>2.27</w:t>
            </w:r>
            <w:bookmarkEnd w:id="86"/>
            <w:r>
              <w:rPr>
                <w:rFonts w:hint="eastAsia"/>
                <w:bCs/>
                <w:szCs w:val="21"/>
              </w:rPr>
              <w:t>、</w:t>
            </w:r>
          </w:p>
          <w:p>
            <w:pPr>
              <w:jc w:val="center"/>
              <w:rPr>
                <w:bCs/>
                <w:szCs w:val="21"/>
              </w:rPr>
            </w:pPr>
            <w:r>
              <w:rPr>
                <w:rFonts w:hint="eastAsia"/>
                <w:bCs/>
                <w:szCs w:val="21"/>
              </w:rPr>
              <w:t>凸窗</w:t>
            </w:r>
            <w:bookmarkStart w:id="87" w:name="凸窗K－北向"/>
            <w:r>
              <w:rPr>
                <w:rFonts w:hint="eastAsia"/>
                <w:bCs/>
                <w:szCs w:val="21"/>
              </w:rPr>
              <w:t>－</w:t>
            </w:r>
            <w:bookmarkEnd w:id="87"/>
          </w:p>
        </w:tc>
        <w:tc>
          <w:tcPr>
            <w:tcW w:w="361" w:type="pct"/>
            <w:vAlign w:val="center"/>
          </w:tcPr>
          <w:p>
            <w:pPr>
              <w:jc w:val="center"/>
              <w:rPr>
                <w:bCs/>
                <w:szCs w:val="21"/>
              </w:rPr>
            </w:pPr>
            <w:r>
              <w:rPr>
                <w:rFonts w:hint="eastAsia"/>
                <w:bCs/>
                <w:szCs w:val="21"/>
              </w:rPr>
              <w:t>普</w:t>
            </w:r>
            <w:r>
              <w:rPr>
                <w:bCs/>
                <w:szCs w:val="21"/>
              </w:rPr>
              <w:t>窗</w:t>
            </w:r>
            <w:bookmarkStart w:id="88" w:name="外窗SC－夏季－北向"/>
            <w:r>
              <w:rPr>
                <w:rFonts w:hint="eastAsia"/>
                <w:bCs/>
                <w:szCs w:val="21"/>
              </w:rPr>
              <w:t>0.54</w:t>
            </w:r>
            <w:bookmarkEnd w:id="88"/>
            <w:r>
              <w:rPr>
                <w:bCs/>
                <w:szCs w:val="21"/>
              </w:rPr>
              <w:t>、</w:t>
            </w:r>
          </w:p>
          <w:p>
            <w:pPr>
              <w:jc w:val="center"/>
              <w:rPr>
                <w:bCs/>
                <w:szCs w:val="21"/>
              </w:rPr>
            </w:pPr>
            <w:r>
              <w:rPr>
                <w:rFonts w:hint="eastAsia"/>
                <w:bCs/>
                <w:szCs w:val="21"/>
              </w:rPr>
              <w:t>凸窗</w:t>
            </w:r>
            <w:bookmarkStart w:id="89" w:name="凸窗SC－夏季－北向"/>
            <w:r>
              <w:rPr>
                <w:rFonts w:hint="eastAsia"/>
                <w:bCs/>
                <w:szCs w:val="21"/>
              </w:rPr>
              <w:t>－</w:t>
            </w:r>
            <w:bookmarkEnd w:id="89"/>
          </w:p>
        </w:tc>
        <w:tc>
          <w:tcPr>
            <w:tcW w:w="388" w:type="pct"/>
            <w:vAlign w:val="center"/>
          </w:tcPr>
          <w:p>
            <w:pPr>
              <w:jc w:val="center"/>
              <w:rPr>
                <w:bCs/>
                <w:szCs w:val="21"/>
              </w:rPr>
            </w:pPr>
            <w:r>
              <w:rPr>
                <w:rFonts w:hint="eastAsia"/>
                <w:bCs/>
                <w:szCs w:val="21"/>
              </w:rPr>
              <w:t>普</w:t>
            </w:r>
            <w:r>
              <w:rPr>
                <w:bCs/>
                <w:szCs w:val="21"/>
              </w:rPr>
              <w:t>窗</w:t>
            </w:r>
            <w:bookmarkStart w:id="90" w:name="外窗SC－冬季－北向"/>
            <w:r>
              <w:rPr>
                <w:rFonts w:hint="eastAsia"/>
                <w:bCs/>
                <w:szCs w:val="21"/>
              </w:rPr>
              <w:t>0.54</w:t>
            </w:r>
            <w:bookmarkEnd w:id="90"/>
            <w:r>
              <w:rPr>
                <w:bCs/>
                <w:szCs w:val="21"/>
              </w:rPr>
              <w:t>、</w:t>
            </w:r>
          </w:p>
          <w:p>
            <w:pPr>
              <w:jc w:val="center"/>
              <w:rPr>
                <w:bCs/>
                <w:szCs w:val="21"/>
              </w:rPr>
            </w:pPr>
            <w:r>
              <w:rPr>
                <w:rFonts w:hint="eastAsia"/>
                <w:bCs/>
                <w:szCs w:val="21"/>
              </w:rPr>
              <w:t>凸窗</w:t>
            </w:r>
            <w:bookmarkStart w:id="91" w:name="凸窗SC－冬季－北向"/>
            <w:r>
              <w:rPr>
                <w:rFonts w:hint="eastAsia"/>
                <w:bCs/>
                <w:szCs w:val="21"/>
              </w:rPr>
              <w:t>－</w:t>
            </w:r>
            <w:bookmarkEnd w:id="91"/>
          </w:p>
        </w:tc>
        <w:tc>
          <w:tcPr>
            <w:tcW w:w="402" w:type="pct"/>
            <w:vAlign w:val="center"/>
          </w:tcPr>
          <w:p>
            <w:pPr>
              <w:jc w:val="center"/>
              <w:rPr>
                <w:bCs/>
                <w:szCs w:val="21"/>
              </w:rPr>
            </w:pPr>
            <w:bookmarkStart w:id="92" w:name="参照建筑窗墙比－北向"/>
            <w:r>
              <w:rPr>
                <w:rFonts w:hint="eastAsia"/>
                <w:bCs/>
                <w:szCs w:val="21"/>
              </w:rPr>
              <w:t>0.24</w:t>
            </w:r>
            <w:bookmarkEnd w:id="92"/>
          </w:p>
        </w:tc>
        <w:tc>
          <w:tcPr>
            <w:tcW w:w="475" w:type="pct"/>
            <w:vAlign w:val="center"/>
          </w:tcPr>
          <w:p>
            <w:pPr>
              <w:jc w:val="center"/>
              <w:rPr>
                <w:bCs/>
                <w:szCs w:val="21"/>
              </w:rPr>
            </w:pPr>
            <w:r>
              <w:rPr>
                <w:rFonts w:hint="eastAsia"/>
                <w:bCs/>
                <w:szCs w:val="21"/>
              </w:rPr>
              <w:t>普窗</w:t>
            </w:r>
            <w:bookmarkStart w:id="93" w:name="参照建筑外窗K－北向"/>
            <w:r>
              <w:rPr>
                <w:rFonts w:hint="eastAsia"/>
                <w:bCs/>
                <w:szCs w:val="21"/>
              </w:rPr>
              <w:t>3.20</w:t>
            </w:r>
            <w:bookmarkEnd w:id="93"/>
            <w:r>
              <w:rPr>
                <w:rFonts w:hint="eastAsia"/>
                <w:bCs/>
                <w:szCs w:val="21"/>
              </w:rPr>
              <w:t>、</w:t>
            </w:r>
          </w:p>
          <w:p>
            <w:pPr>
              <w:jc w:val="center"/>
              <w:rPr>
                <w:bCs/>
                <w:szCs w:val="21"/>
              </w:rPr>
            </w:pPr>
            <w:r>
              <w:rPr>
                <w:rFonts w:hint="eastAsia"/>
                <w:bCs/>
                <w:szCs w:val="21"/>
              </w:rPr>
              <w:t>凸窗</w:t>
            </w:r>
            <w:bookmarkStart w:id="94" w:name="参照建筑凸窗K－北向"/>
            <w:r>
              <w:rPr>
                <w:rFonts w:hint="eastAsia"/>
                <w:bCs/>
                <w:szCs w:val="21"/>
              </w:rPr>
              <w:t>－</w:t>
            </w:r>
            <w:bookmarkEnd w:id="94"/>
          </w:p>
        </w:tc>
        <w:tc>
          <w:tcPr>
            <w:tcW w:w="395" w:type="pct"/>
            <w:vAlign w:val="center"/>
          </w:tcPr>
          <w:p>
            <w:pPr>
              <w:jc w:val="center"/>
              <w:rPr>
                <w:bCs/>
                <w:szCs w:val="21"/>
              </w:rPr>
            </w:pPr>
            <w:r>
              <w:rPr>
                <w:rFonts w:hint="eastAsia"/>
                <w:bCs/>
                <w:szCs w:val="21"/>
              </w:rPr>
              <w:t>普窗</w:t>
            </w:r>
            <w:bookmarkStart w:id="95" w:name="参照建筑外窗SC－夏季－北向"/>
            <w:r>
              <w:rPr>
                <w:rFonts w:hint="eastAsia"/>
                <w:bCs/>
                <w:szCs w:val="21"/>
              </w:rPr>
              <w:t>－－</w:t>
            </w:r>
            <w:bookmarkEnd w:id="95"/>
            <w:r>
              <w:rPr>
                <w:rFonts w:hint="eastAsia"/>
                <w:bCs/>
                <w:szCs w:val="21"/>
              </w:rPr>
              <w:t>、</w:t>
            </w:r>
          </w:p>
          <w:p>
            <w:pPr>
              <w:jc w:val="center"/>
              <w:rPr>
                <w:bCs/>
                <w:szCs w:val="21"/>
              </w:rPr>
            </w:pPr>
            <w:r>
              <w:rPr>
                <w:rFonts w:hint="eastAsia"/>
                <w:bCs/>
                <w:szCs w:val="21"/>
              </w:rPr>
              <w:t>凸窗</w:t>
            </w:r>
            <w:bookmarkStart w:id="96" w:name="参照建筑凸窗SC－夏季－北向"/>
            <w:r>
              <w:rPr>
                <w:rFonts w:hint="eastAsia"/>
                <w:bCs/>
                <w:szCs w:val="21"/>
              </w:rPr>
              <w:t>－</w:t>
            </w:r>
            <w:bookmarkEnd w:id="96"/>
          </w:p>
        </w:tc>
        <w:tc>
          <w:tcPr>
            <w:tcW w:w="468" w:type="pct"/>
            <w:vAlign w:val="center"/>
          </w:tcPr>
          <w:p>
            <w:pPr>
              <w:jc w:val="center"/>
              <w:rPr>
                <w:bCs/>
                <w:szCs w:val="21"/>
              </w:rPr>
            </w:pPr>
            <w:r>
              <w:rPr>
                <w:rFonts w:hint="eastAsia"/>
                <w:bCs/>
                <w:szCs w:val="21"/>
              </w:rPr>
              <w:t>普窗</w:t>
            </w:r>
            <w:bookmarkStart w:id="97" w:name="参照建筑外窗SC－冬季－北向"/>
            <w:r>
              <w:rPr>
                <w:rFonts w:hint="eastAsia"/>
                <w:bCs/>
                <w:szCs w:val="21"/>
              </w:rPr>
              <w:t>－－</w:t>
            </w:r>
            <w:bookmarkEnd w:id="97"/>
            <w:r>
              <w:rPr>
                <w:rFonts w:hint="eastAsia"/>
                <w:bCs/>
                <w:szCs w:val="21"/>
              </w:rPr>
              <w:t>、</w:t>
            </w:r>
          </w:p>
          <w:p>
            <w:pPr>
              <w:jc w:val="center"/>
              <w:rPr>
                <w:bCs/>
                <w:szCs w:val="21"/>
              </w:rPr>
            </w:pPr>
            <w:r>
              <w:rPr>
                <w:rFonts w:hint="eastAsia"/>
                <w:bCs/>
                <w:szCs w:val="21"/>
              </w:rPr>
              <w:t>凸窗</w:t>
            </w:r>
            <w:bookmarkStart w:id="98" w:name="参照建筑凸窗SC－冬季－北向"/>
            <w:r>
              <w:rPr>
                <w:rFonts w:hint="eastAsia"/>
                <w:bCs/>
                <w:szCs w:val="21"/>
              </w:rPr>
              <w:t>－</w:t>
            </w:r>
            <w:bookmarkEnd w:id="9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bCs/>
                <w:szCs w:val="21"/>
              </w:rPr>
            </w:pPr>
          </w:p>
        </w:tc>
        <w:tc>
          <w:tcPr>
            <w:tcW w:w="606" w:type="pct"/>
            <w:shd w:val="clear" w:color="auto" w:fill="E6E6E6"/>
            <w:vAlign w:val="center"/>
          </w:tcPr>
          <w:p>
            <w:pPr>
              <w:jc w:val="center"/>
              <w:rPr>
                <w:rFonts w:hAnsi="宋体"/>
                <w:bCs/>
                <w:szCs w:val="21"/>
              </w:rPr>
            </w:pPr>
            <w:r>
              <w:rPr>
                <w:rFonts w:hAnsi="宋体"/>
                <w:bCs/>
                <w:szCs w:val="21"/>
              </w:rPr>
              <w:t>东向</w:t>
            </w:r>
          </w:p>
        </w:tc>
        <w:tc>
          <w:tcPr>
            <w:tcW w:w="450" w:type="pct"/>
            <w:vAlign w:val="center"/>
          </w:tcPr>
          <w:p>
            <w:pPr>
              <w:jc w:val="center"/>
              <w:rPr>
                <w:bCs/>
                <w:szCs w:val="21"/>
              </w:rPr>
            </w:pPr>
            <w:bookmarkStart w:id="99" w:name="窗墙比－东向"/>
            <w:r>
              <w:rPr>
                <w:rFonts w:hint="eastAsia"/>
                <w:bCs/>
                <w:szCs w:val="21"/>
              </w:rPr>
              <w:t>0.07</w:t>
            </w:r>
            <w:bookmarkEnd w:id="99"/>
          </w:p>
        </w:tc>
        <w:tc>
          <w:tcPr>
            <w:tcW w:w="531" w:type="pct"/>
            <w:vAlign w:val="center"/>
          </w:tcPr>
          <w:p>
            <w:pPr>
              <w:jc w:val="center"/>
              <w:rPr>
                <w:bCs/>
                <w:szCs w:val="21"/>
              </w:rPr>
            </w:pPr>
            <w:r>
              <w:rPr>
                <w:rFonts w:hint="eastAsia"/>
                <w:bCs/>
                <w:szCs w:val="21"/>
              </w:rPr>
              <w:t>普窗</w:t>
            </w:r>
            <w:bookmarkStart w:id="100" w:name="外窗K－东向"/>
            <w:r>
              <w:rPr>
                <w:rFonts w:hint="eastAsia"/>
                <w:bCs/>
                <w:szCs w:val="21"/>
              </w:rPr>
              <w:t>2.27</w:t>
            </w:r>
            <w:bookmarkEnd w:id="100"/>
            <w:r>
              <w:rPr>
                <w:rFonts w:hint="eastAsia"/>
                <w:bCs/>
                <w:szCs w:val="21"/>
              </w:rPr>
              <w:t>、</w:t>
            </w:r>
          </w:p>
          <w:p>
            <w:pPr>
              <w:jc w:val="center"/>
              <w:rPr>
                <w:bCs/>
                <w:szCs w:val="21"/>
              </w:rPr>
            </w:pPr>
            <w:r>
              <w:rPr>
                <w:rFonts w:hint="eastAsia"/>
                <w:bCs/>
                <w:szCs w:val="21"/>
              </w:rPr>
              <w:t>凸窗</w:t>
            </w:r>
            <w:bookmarkStart w:id="101" w:name="凸窗K－东向"/>
            <w:r>
              <w:rPr>
                <w:rFonts w:hint="eastAsia"/>
                <w:bCs/>
                <w:szCs w:val="21"/>
              </w:rPr>
              <w:t>－</w:t>
            </w:r>
            <w:bookmarkEnd w:id="101"/>
          </w:p>
        </w:tc>
        <w:tc>
          <w:tcPr>
            <w:tcW w:w="361" w:type="pct"/>
            <w:vAlign w:val="center"/>
          </w:tcPr>
          <w:p>
            <w:pPr>
              <w:jc w:val="center"/>
              <w:rPr>
                <w:bCs/>
                <w:szCs w:val="21"/>
              </w:rPr>
            </w:pPr>
            <w:r>
              <w:rPr>
                <w:rFonts w:hint="eastAsia"/>
                <w:bCs/>
                <w:szCs w:val="21"/>
              </w:rPr>
              <w:t>普窗</w:t>
            </w:r>
            <w:bookmarkStart w:id="102" w:name="外窗SC－夏季－东向"/>
            <w:r>
              <w:rPr>
                <w:rFonts w:hint="eastAsia"/>
                <w:bCs/>
                <w:szCs w:val="21"/>
              </w:rPr>
              <w:t>0.22</w:t>
            </w:r>
            <w:bookmarkEnd w:id="102"/>
            <w:r>
              <w:rPr>
                <w:bCs/>
                <w:szCs w:val="21"/>
              </w:rPr>
              <w:t>、</w:t>
            </w:r>
          </w:p>
          <w:p>
            <w:pPr>
              <w:jc w:val="center"/>
              <w:rPr>
                <w:bCs/>
                <w:szCs w:val="21"/>
              </w:rPr>
            </w:pPr>
            <w:r>
              <w:rPr>
                <w:rFonts w:hint="eastAsia"/>
                <w:bCs/>
                <w:szCs w:val="21"/>
              </w:rPr>
              <w:t>凸窗</w:t>
            </w:r>
            <w:bookmarkStart w:id="103" w:name="凸窗SC－夏季－东向"/>
            <w:r>
              <w:rPr>
                <w:rFonts w:hint="eastAsia"/>
                <w:bCs/>
                <w:szCs w:val="21"/>
              </w:rPr>
              <w:t>－</w:t>
            </w:r>
            <w:bookmarkEnd w:id="103"/>
          </w:p>
        </w:tc>
        <w:tc>
          <w:tcPr>
            <w:tcW w:w="388" w:type="pct"/>
            <w:vAlign w:val="center"/>
          </w:tcPr>
          <w:p>
            <w:pPr>
              <w:jc w:val="center"/>
              <w:rPr>
                <w:bCs/>
                <w:szCs w:val="21"/>
              </w:rPr>
            </w:pPr>
            <w:r>
              <w:rPr>
                <w:rFonts w:hint="eastAsia"/>
                <w:bCs/>
                <w:szCs w:val="21"/>
              </w:rPr>
              <w:t>普窗</w:t>
            </w:r>
            <w:bookmarkStart w:id="104" w:name="外窗SC－冬季－东向"/>
            <w:r>
              <w:rPr>
                <w:rFonts w:hint="eastAsia"/>
                <w:bCs/>
                <w:szCs w:val="21"/>
              </w:rPr>
              <w:t>0.22</w:t>
            </w:r>
            <w:bookmarkEnd w:id="104"/>
            <w:r>
              <w:rPr>
                <w:bCs/>
                <w:szCs w:val="21"/>
              </w:rPr>
              <w:t>、</w:t>
            </w:r>
          </w:p>
          <w:p>
            <w:pPr>
              <w:jc w:val="center"/>
              <w:rPr>
                <w:bCs/>
                <w:szCs w:val="21"/>
              </w:rPr>
            </w:pPr>
            <w:r>
              <w:rPr>
                <w:rFonts w:hint="eastAsia"/>
                <w:bCs/>
                <w:szCs w:val="21"/>
              </w:rPr>
              <w:t>凸窗</w:t>
            </w:r>
            <w:bookmarkStart w:id="105" w:name="凸窗SC－冬季－东向"/>
            <w:r>
              <w:rPr>
                <w:rFonts w:hint="eastAsia"/>
                <w:bCs/>
                <w:szCs w:val="21"/>
              </w:rPr>
              <w:t>－</w:t>
            </w:r>
            <w:bookmarkEnd w:id="105"/>
          </w:p>
        </w:tc>
        <w:tc>
          <w:tcPr>
            <w:tcW w:w="402" w:type="pct"/>
            <w:vAlign w:val="center"/>
          </w:tcPr>
          <w:p>
            <w:pPr>
              <w:jc w:val="center"/>
              <w:rPr>
                <w:bCs/>
                <w:szCs w:val="21"/>
              </w:rPr>
            </w:pPr>
            <w:bookmarkStart w:id="106" w:name="参照建筑窗墙比－东向"/>
            <w:r>
              <w:rPr>
                <w:rFonts w:hint="eastAsia"/>
                <w:bCs/>
                <w:szCs w:val="21"/>
              </w:rPr>
              <w:t>0.07</w:t>
            </w:r>
            <w:bookmarkEnd w:id="106"/>
          </w:p>
        </w:tc>
        <w:tc>
          <w:tcPr>
            <w:tcW w:w="475" w:type="pct"/>
            <w:vAlign w:val="center"/>
          </w:tcPr>
          <w:p>
            <w:pPr>
              <w:jc w:val="center"/>
              <w:rPr>
                <w:bCs/>
                <w:szCs w:val="21"/>
              </w:rPr>
            </w:pPr>
            <w:r>
              <w:rPr>
                <w:rFonts w:hint="eastAsia"/>
                <w:bCs/>
                <w:szCs w:val="21"/>
              </w:rPr>
              <w:t>普窗</w:t>
            </w:r>
            <w:bookmarkStart w:id="107" w:name="参照建筑外窗K－东向"/>
            <w:r>
              <w:rPr>
                <w:rFonts w:hint="eastAsia"/>
                <w:bCs/>
                <w:szCs w:val="21"/>
              </w:rPr>
              <w:t>4.00</w:t>
            </w:r>
            <w:bookmarkEnd w:id="107"/>
            <w:r>
              <w:rPr>
                <w:rFonts w:hint="eastAsia"/>
                <w:bCs/>
                <w:szCs w:val="21"/>
              </w:rPr>
              <w:t>、</w:t>
            </w:r>
          </w:p>
          <w:p>
            <w:pPr>
              <w:jc w:val="center"/>
              <w:rPr>
                <w:bCs/>
                <w:szCs w:val="21"/>
              </w:rPr>
            </w:pPr>
            <w:r>
              <w:rPr>
                <w:rFonts w:hint="eastAsia"/>
                <w:bCs/>
                <w:szCs w:val="21"/>
              </w:rPr>
              <w:t>凸窗</w:t>
            </w:r>
            <w:bookmarkStart w:id="108" w:name="参照建筑凸窗K－东向"/>
            <w:r>
              <w:rPr>
                <w:rFonts w:hint="eastAsia"/>
                <w:bCs/>
                <w:szCs w:val="21"/>
              </w:rPr>
              <w:t>－</w:t>
            </w:r>
            <w:bookmarkEnd w:id="108"/>
          </w:p>
        </w:tc>
        <w:tc>
          <w:tcPr>
            <w:tcW w:w="395" w:type="pct"/>
            <w:vAlign w:val="center"/>
          </w:tcPr>
          <w:p>
            <w:pPr>
              <w:jc w:val="center"/>
              <w:rPr>
                <w:bCs/>
                <w:szCs w:val="21"/>
              </w:rPr>
            </w:pPr>
            <w:r>
              <w:rPr>
                <w:rFonts w:hint="eastAsia"/>
                <w:bCs/>
                <w:szCs w:val="21"/>
              </w:rPr>
              <w:t>普窗</w:t>
            </w:r>
            <w:bookmarkStart w:id="109" w:name="参照建筑外窗SC－夏季－东向"/>
            <w:r>
              <w:rPr>
                <w:rFonts w:hint="eastAsia"/>
                <w:bCs/>
                <w:szCs w:val="21"/>
              </w:rPr>
              <w:t>－－</w:t>
            </w:r>
            <w:bookmarkEnd w:id="109"/>
            <w:r>
              <w:rPr>
                <w:rFonts w:hint="eastAsia"/>
                <w:bCs/>
                <w:szCs w:val="21"/>
              </w:rPr>
              <w:t>、</w:t>
            </w:r>
          </w:p>
          <w:p>
            <w:pPr>
              <w:jc w:val="center"/>
              <w:rPr>
                <w:bCs/>
                <w:szCs w:val="21"/>
              </w:rPr>
            </w:pPr>
            <w:r>
              <w:rPr>
                <w:rFonts w:hint="eastAsia"/>
                <w:bCs/>
                <w:szCs w:val="21"/>
              </w:rPr>
              <w:t>凸窗</w:t>
            </w:r>
            <w:bookmarkStart w:id="110" w:name="参照建筑凸窗SC－夏季－东向"/>
            <w:r>
              <w:rPr>
                <w:rFonts w:hint="eastAsia"/>
                <w:bCs/>
                <w:szCs w:val="21"/>
              </w:rPr>
              <w:t>－</w:t>
            </w:r>
            <w:bookmarkEnd w:id="110"/>
          </w:p>
        </w:tc>
        <w:tc>
          <w:tcPr>
            <w:tcW w:w="468" w:type="pct"/>
            <w:vAlign w:val="center"/>
          </w:tcPr>
          <w:p>
            <w:pPr>
              <w:jc w:val="center"/>
              <w:rPr>
                <w:bCs/>
                <w:szCs w:val="21"/>
              </w:rPr>
            </w:pPr>
            <w:r>
              <w:rPr>
                <w:rFonts w:hint="eastAsia"/>
                <w:bCs/>
                <w:szCs w:val="21"/>
              </w:rPr>
              <w:t>普窗</w:t>
            </w:r>
            <w:bookmarkStart w:id="111" w:name="参照建筑外窗SC－冬季－东向"/>
            <w:r>
              <w:rPr>
                <w:rFonts w:hint="eastAsia"/>
                <w:bCs/>
                <w:szCs w:val="21"/>
              </w:rPr>
              <w:t>－－</w:t>
            </w:r>
            <w:bookmarkEnd w:id="111"/>
            <w:r>
              <w:rPr>
                <w:rFonts w:hint="eastAsia"/>
                <w:bCs/>
                <w:szCs w:val="21"/>
              </w:rPr>
              <w:t>、</w:t>
            </w:r>
          </w:p>
          <w:p>
            <w:pPr>
              <w:jc w:val="center"/>
              <w:rPr>
                <w:bCs/>
                <w:szCs w:val="21"/>
              </w:rPr>
            </w:pPr>
            <w:r>
              <w:rPr>
                <w:rFonts w:hint="eastAsia"/>
                <w:bCs/>
                <w:szCs w:val="21"/>
              </w:rPr>
              <w:t>凸窗</w:t>
            </w:r>
            <w:bookmarkStart w:id="112" w:name="参照建筑凸窗SC－冬季－东向"/>
            <w:r>
              <w:rPr>
                <w:rFonts w:hint="eastAsia"/>
                <w:bCs/>
                <w:szCs w:val="21"/>
              </w:rPr>
              <w:t>－</w:t>
            </w:r>
            <w:bookmarkEnd w:id="1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bCs/>
                <w:szCs w:val="21"/>
              </w:rPr>
            </w:pPr>
          </w:p>
        </w:tc>
        <w:tc>
          <w:tcPr>
            <w:tcW w:w="606" w:type="pct"/>
            <w:shd w:val="clear" w:color="auto" w:fill="E6E6E6"/>
            <w:vAlign w:val="center"/>
          </w:tcPr>
          <w:p>
            <w:pPr>
              <w:jc w:val="center"/>
              <w:rPr>
                <w:bCs/>
                <w:szCs w:val="21"/>
              </w:rPr>
            </w:pPr>
            <w:r>
              <w:rPr>
                <w:rFonts w:hAnsi="宋体"/>
                <w:bCs/>
                <w:szCs w:val="21"/>
              </w:rPr>
              <w:t>西向</w:t>
            </w:r>
          </w:p>
        </w:tc>
        <w:tc>
          <w:tcPr>
            <w:tcW w:w="450" w:type="pct"/>
            <w:vAlign w:val="center"/>
          </w:tcPr>
          <w:p>
            <w:pPr>
              <w:jc w:val="center"/>
              <w:rPr>
                <w:bCs/>
                <w:szCs w:val="21"/>
              </w:rPr>
            </w:pPr>
            <w:bookmarkStart w:id="113" w:name="窗墙比－西向"/>
            <w:r>
              <w:rPr>
                <w:rFonts w:hint="eastAsia"/>
                <w:bCs/>
                <w:szCs w:val="21"/>
              </w:rPr>
              <w:t>0.07</w:t>
            </w:r>
            <w:bookmarkEnd w:id="113"/>
          </w:p>
        </w:tc>
        <w:tc>
          <w:tcPr>
            <w:tcW w:w="531" w:type="pct"/>
            <w:vAlign w:val="center"/>
          </w:tcPr>
          <w:p>
            <w:pPr>
              <w:jc w:val="center"/>
              <w:rPr>
                <w:bCs/>
                <w:szCs w:val="21"/>
              </w:rPr>
            </w:pPr>
            <w:r>
              <w:rPr>
                <w:rFonts w:hint="eastAsia"/>
                <w:bCs/>
                <w:szCs w:val="21"/>
              </w:rPr>
              <w:t>普窗</w:t>
            </w:r>
            <w:bookmarkStart w:id="114" w:name="外窗K－西向"/>
            <w:r>
              <w:rPr>
                <w:rFonts w:hint="eastAsia"/>
                <w:bCs/>
                <w:szCs w:val="21"/>
              </w:rPr>
              <w:t>2.27</w:t>
            </w:r>
            <w:bookmarkEnd w:id="114"/>
            <w:r>
              <w:rPr>
                <w:rFonts w:hint="eastAsia"/>
                <w:bCs/>
                <w:szCs w:val="21"/>
              </w:rPr>
              <w:t>、</w:t>
            </w:r>
          </w:p>
          <w:p>
            <w:pPr>
              <w:jc w:val="center"/>
              <w:rPr>
                <w:bCs/>
                <w:szCs w:val="21"/>
              </w:rPr>
            </w:pPr>
            <w:r>
              <w:rPr>
                <w:rFonts w:hint="eastAsia"/>
                <w:bCs/>
                <w:szCs w:val="21"/>
              </w:rPr>
              <w:t>凸窗</w:t>
            </w:r>
            <w:bookmarkStart w:id="115" w:name="凸窗K－西向"/>
            <w:r>
              <w:rPr>
                <w:rFonts w:hint="eastAsia"/>
                <w:bCs/>
                <w:szCs w:val="21"/>
              </w:rPr>
              <w:t>－</w:t>
            </w:r>
            <w:bookmarkEnd w:id="115"/>
          </w:p>
        </w:tc>
        <w:tc>
          <w:tcPr>
            <w:tcW w:w="361" w:type="pct"/>
            <w:vAlign w:val="center"/>
          </w:tcPr>
          <w:p>
            <w:pPr>
              <w:jc w:val="center"/>
              <w:rPr>
                <w:bCs/>
                <w:szCs w:val="21"/>
              </w:rPr>
            </w:pPr>
            <w:r>
              <w:rPr>
                <w:rFonts w:hint="eastAsia"/>
                <w:bCs/>
                <w:szCs w:val="21"/>
              </w:rPr>
              <w:t>普窗</w:t>
            </w:r>
            <w:bookmarkStart w:id="116" w:name="外窗SC－夏季－西向"/>
            <w:r>
              <w:rPr>
                <w:rFonts w:hint="eastAsia"/>
                <w:bCs/>
                <w:szCs w:val="21"/>
              </w:rPr>
              <w:t>0.18</w:t>
            </w:r>
            <w:bookmarkEnd w:id="116"/>
            <w:r>
              <w:rPr>
                <w:bCs/>
                <w:szCs w:val="21"/>
              </w:rPr>
              <w:t>、</w:t>
            </w:r>
          </w:p>
          <w:p>
            <w:pPr>
              <w:jc w:val="center"/>
              <w:rPr>
                <w:bCs/>
                <w:szCs w:val="21"/>
              </w:rPr>
            </w:pPr>
            <w:r>
              <w:rPr>
                <w:rFonts w:hint="eastAsia"/>
                <w:bCs/>
                <w:szCs w:val="21"/>
              </w:rPr>
              <w:t>凸窗</w:t>
            </w:r>
            <w:bookmarkStart w:id="117" w:name="凸窗SC－夏季－西向"/>
            <w:r>
              <w:rPr>
                <w:rFonts w:hint="eastAsia"/>
                <w:bCs/>
                <w:szCs w:val="21"/>
              </w:rPr>
              <w:t>－</w:t>
            </w:r>
            <w:bookmarkEnd w:id="117"/>
          </w:p>
        </w:tc>
        <w:tc>
          <w:tcPr>
            <w:tcW w:w="388" w:type="pct"/>
            <w:vAlign w:val="center"/>
          </w:tcPr>
          <w:p>
            <w:pPr>
              <w:jc w:val="center"/>
              <w:rPr>
                <w:bCs/>
                <w:szCs w:val="21"/>
              </w:rPr>
            </w:pPr>
            <w:r>
              <w:rPr>
                <w:rFonts w:hint="eastAsia"/>
                <w:bCs/>
                <w:szCs w:val="21"/>
              </w:rPr>
              <w:t>普窗</w:t>
            </w:r>
            <w:bookmarkStart w:id="118" w:name="外窗SC－冬季－西向"/>
            <w:r>
              <w:rPr>
                <w:rFonts w:hint="eastAsia"/>
                <w:bCs/>
                <w:szCs w:val="21"/>
              </w:rPr>
              <w:t>0.18</w:t>
            </w:r>
            <w:bookmarkEnd w:id="118"/>
            <w:r>
              <w:rPr>
                <w:bCs/>
                <w:szCs w:val="21"/>
              </w:rPr>
              <w:t>、</w:t>
            </w:r>
          </w:p>
          <w:p>
            <w:pPr>
              <w:jc w:val="center"/>
              <w:rPr>
                <w:bCs/>
                <w:szCs w:val="21"/>
              </w:rPr>
            </w:pPr>
            <w:r>
              <w:rPr>
                <w:rFonts w:hint="eastAsia"/>
                <w:bCs/>
                <w:szCs w:val="21"/>
              </w:rPr>
              <w:t>凸窗</w:t>
            </w:r>
            <w:bookmarkStart w:id="119" w:name="凸窗SC－冬季－西向"/>
            <w:r>
              <w:rPr>
                <w:rFonts w:hint="eastAsia"/>
                <w:bCs/>
                <w:szCs w:val="21"/>
              </w:rPr>
              <w:t>－</w:t>
            </w:r>
            <w:bookmarkEnd w:id="119"/>
          </w:p>
        </w:tc>
        <w:tc>
          <w:tcPr>
            <w:tcW w:w="402" w:type="pct"/>
            <w:vAlign w:val="center"/>
          </w:tcPr>
          <w:p>
            <w:pPr>
              <w:jc w:val="center"/>
              <w:rPr>
                <w:bCs/>
                <w:szCs w:val="21"/>
              </w:rPr>
            </w:pPr>
            <w:bookmarkStart w:id="120" w:name="参照建筑窗墙比－西向"/>
            <w:r>
              <w:rPr>
                <w:rFonts w:hint="eastAsia"/>
                <w:bCs/>
                <w:szCs w:val="21"/>
              </w:rPr>
              <w:t>0.07</w:t>
            </w:r>
            <w:bookmarkEnd w:id="120"/>
          </w:p>
        </w:tc>
        <w:tc>
          <w:tcPr>
            <w:tcW w:w="475" w:type="pct"/>
            <w:vAlign w:val="center"/>
          </w:tcPr>
          <w:p>
            <w:pPr>
              <w:jc w:val="center"/>
              <w:rPr>
                <w:bCs/>
                <w:szCs w:val="21"/>
              </w:rPr>
            </w:pPr>
            <w:r>
              <w:rPr>
                <w:rFonts w:hint="eastAsia"/>
                <w:bCs/>
                <w:szCs w:val="21"/>
              </w:rPr>
              <w:t>普窗</w:t>
            </w:r>
            <w:bookmarkStart w:id="121" w:name="参照建筑外窗K－西向"/>
            <w:r>
              <w:rPr>
                <w:rFonts w:hint="eastAsia"/>
                <w:bCs/>
                <w:szCs w:val="21"/>
              </w:rPr>
              <w:t>4.00</w:t>
            </w:r>
            <w:bookmarkEnd w:id="121"/>
            <w:r>
              <w:rPr>
                <w:rFonts w:hint="eastAsia"/>
                <w:bCs/>
                <w:szCs w:val="21"/>
              </w:rPr>
              <w:t>、</w:t>
            </w:r>
          </w:p>
          <w:p>
            <w:pPr>
              <w:jc w:val="center"/>
              <w:rPr>
                <w:bCs/>
                <w:szCs w:val="21"/>
              </w:rPr>
            </w:pPr>
            <w:r>
              <w:rPr>
                <w:rFonts w:hint="eastAsia"/>
                <w:bCs/>
                <w:szCs w:val="21"/>
              </w:rPr>
              <w:t>凸窗</w:t>
            </w:r>
            <w:bookmarkStart w:id="122" w:name="参照建筑凸窗K－西向"/>
            <w:r>
              <w:rPr>
                <w:rFonts w:hint="eastAsia"/>
                <w:bCs/>
                <w:szCs w:val="21"/>
              </w:rPr>
              <w:t>－</w:t>
            </w:r>
            <w:bookmarkEnd w:id="122"/>
          </w:p>
        </w:tc>
        <w:tc>
          <w:tcPr>
            <w:tcW w:w="395" w:type="pct"/>
            <w:vAlign w:val="center"/>
          </w:tcPr>
          <w:p>
            <w:pPr>
              <w:jc w:val="center"/>
              <w:rPr>
                <w:bCs/>
                <w:szCs w:val="21"/>
              </w:rPr>
            </w:pPr>
            <w:r>
              <w:rPr>
                <w:rFonts w:hint="eastAsia"/>
                <w:bCs/>
                <w:szCs w:val="21"/>
              </w:rPr>
              <w:t>普窗</w:t>
            </w:r>
            <w:bookmarkStart w:id="123" w:name="参照建筑外窗SC－夏季－西向"/>
            <w:r>
              <w:rPr>
                <w:rFonts w:hint="eastAsia"/>
                <w:bCs/>
                <w:szCs w:val="21"/>
              </w:rPr>
              <w:t>－－</w:t>
            </w:r>
            <w:bookmarkEnd w:id="123"/>
            <w:r>
              <w:rPr>
                <w:rFonts w:hint="eastAsia"/>
                <w:bCs/>
                <w:szCs w:val="21"/>
              </w:rPr>
              <w:t>、</w:t>
            </w:r>
          </w:p>
          <w:p>
            <w:pPr>
              <w:jc w:val="center"/>
              <w:rPr>
                <w:bCs/>
                <w:szCs w:val="21"/>
              </w:rPr>
            </w:pPr>
            <w:r>
              <w:rPr>
                <w:rFonts w:hint="eastAsia"/>
                <w:bCs/>
                <w:szCs w:val="21"/>
              </w:rPr>
              <w:t>凸窗</w:t>
            </w:r>
            <w:bookmarkStart w:id="124" w:name="参照建筑凸窗SC－夏季－西向"/>
            <w:r>
              <w:rPr>
                <w:rFonts w:hint="eastAsia"/>
                <w:bCs/>
                <w:szCs w:val="21"/>
              </w:rPr>
              <w:t>－</w:t>
            </w:r>
            <w:bookmarkEnd w:id="124"/>
          </w:p>
        </w:tc>
        <w:tc>
          <w:tcPr>
            <w:tcW w:w="468" w:type="pct"/>
            <w:vAlign w:val="center"/>
          </w:tcPr>
          <w:p>
            <w:pPr>
              <w:jc w:val="center"/>
              <w:rPr>
                <w:bCs/>
                <w:szCs w:val="21"/>
              </w:rPr>
            </w:pPr>
            <w:r>
              <w:rPr>
                <w:rFonts w:hint="eastAsia"/>
                <w:bCs/>
                <w:szCs w:val="21"/>
              </w:rPr>
              <w:t>普窗</w:t>
            </w:r>
            <w:bookmarkStart w:id="125" w:name="参照建筑外窗SC－冬季－西向"/>
            <w:r>
              <w:rPr>
                <w:rFonts w:hint="eastAsia"/>
                <w:bCs/>
                <w:szCs w:val="21"/>
              </w:rPr>
              <w:t>－－</w:t>
            </w:r>
            <w:bookmarkEnd w:id="125"/>
            <w:r>
              <w:rPr>
                <w:rFonts w:hint="eastAsia"/>
                <w:bCs/>
                <w:szCs w:val="21"/>
              </w:rPr>
              <w:t>、</w:t>
            </w:r>
          </w:p>
          <w:p>
            <w:pPr>
              <w:jc w:val="center"/>
              <w:rPr>
                <w:bCs/>
                <w:szCs w:val="21"/>
              </w:rPr>
            </w:pPr>
            <w:r>
              <w:rPr>
                <w:rFonts w:hint="eastAsia"/>
                <w:bCs/>
                <w:szCs w:val="21"/>
              </w:rPr>
              <w:t>凸窗</w:t>
            </w:r>
            <w:bookmarkStart w:id="126" w:name="参照建筑凸窗SC－冬季－西向"/>
            <w:r>
              <w:rPr>
                <w:rFonts w:hint="eastAsia"/>
                <w:bCs/>
                <w:szCs w:val="21"/>
              </w:rPr>
              <w:t>－</w:t>
            </w:r>
            <w:bookmarkEnd w:id="126"/>
          </w:p>
        </w:tc>
      </w:tr>
    </w:tbl>
    <w:p>
      <w:pPr>
        <w:widowControl w:val="0"/>
        <w:jc w:val="both"/>
      </w:pPr>
      <w:r>
        <w:t>备注：1. — 代表本工程无对应项; 2. ——代表参照建筑不要求，取值同设计建筑。</w:t>
      </w:r>
    </w:p>
    <w:p>
      <w:pPr>
        <w:pStyle w:val="4"/>
        <w:widowControl w:val="0"/>
      </w:pPr>
      <w:bookmarkStart w:id="127" w:name="_Toc90591009"/>
      <w:r>
        <w:t>负荷分项统计</w:t>
      </w:r>
      <w:bookmarkEnd w:id="12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-3.42</w:t>
            </w:r>
          </w:p>
        </w:tc>
        <w:tc>
          <w:tcPr>
            <w:tcW w:w="1273" w:type="dxa"/>
            <w:vAlign w:val="center"/>
          </w:tcPr>
          <w:p>
            <w:r>
              <w:t>0.36</w:t>
            </w:r>
          </w:p>
        </w:tc>
        <w:tc>
          <w:tcPr>
            <w:tcW w:w="1131" w:type="dxa"/>
            <w:vAlign w:val="center"/>
          </w:tcPr>
          <w:p>
            <w:r>
              <w:t>1.82</w:t>
            </w:r>
          </w:p>
        </w:tc>
        <w:tc>
          <w:tcPr>
            <w:tcW w:w="1131" w:type="dxa"/>
            <w:vAlign w:val="center"/>
          </w:tcPr>
          <w:p>
            <w:r>
              <w:t>-0.86</w:t>
            </w:r>
          </w:p>
        </w:tc>
        <w:tc>
          <w:tcPr>
            <w:tcW w:w="1131" w:type="dxa"/>
            <w:vAlign w:val="center"/>
          </w:tcPr>
          <w:p>
            <w:r>
              <w:t>0.00</w:t>
            </w:r>
          </w:p>
        </w:tc>
        <w:tc>
          <w:tcPr>
            <w:tcW w:w="1415" w:type="dxa"/>
            <w:vAlign w:val="center"/>
          </w:tcPr>
          <w:p>
            <w:r>
              <w:t>-2.09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12.67</w:t>
            </w:r>
          </w:p>
        </w:tc>
        <w:tc>
          <w:tcPr>
            <w:tcW w:w="1273" w:type="dxa"/>
            <w:vAlign w:val="center"/>
          </w:tcPr>
          <w:p>
            <w:r>
              <w:t>4.71</w:t>
            </w:r>
          </w:p>
        </w:tc>
        <w:tc>
          <w:tcPr>
            <w:tcW w:w="1131" w:type="dxa"/>
            <w:vAlign w:val="center"/>
          </w:tcPr>
          <w:p>
            <w:r>
              <w:t>11.19</w:t>
            </w:r>
          </w:p>
        </w:tc>
        <w:tc>
          <w:tcPr>
            <w:tcW w:w="1131" w:type="dxa"/>
            <w:vAlign w:val="center"/>
          </w:tcPr>
          <w:p>
            <w:r>
              <w:t>19.71</w:t>
            </w:r>
          </w:p>
        </w:tc>
        <w:tc>
          <w:tcPr>
            <w:tcW w:w="1131" w:type="dxa"/>
            <w:vAlign w:val="center"/>
          </w:tcPr>
          <w:p>
            <w:r>
              <w:t>0.00</w:t>
            </w:r>
          </w:p>
        </w:tc>
        <w:tc>
          <w:tcPr>
            <w:tcW w:w="1415" w:type="dxa"/>
            <w:vAlign w:val="center"/>
          </w:tcPr>
          <w:p>
            <w:r>
              <w:t>48.28</w:t>
            </w:r>
          </w:p>
        </w:tc>
      </w:tr>
    </w:tbl>
    <w:p>
      <w:r>
        <w:drawing>
          <wp:inline distT="0" distB="0" distL="0" distR="0">
            <wp:extent cx="56673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5667375" cy="2952750"/>
                    </a:xfrm>
                    <a:prstGeom prst="rect">
                      <a:avLst/>
                    </a:prstGeom>
                  </pic:spPr>
                </pic:pic>
              </a:graphicData>
            </a:graphic>
          </wp:inline>
        </w:drawing>
      </w:r>
    </w:p>
    <w:p/>
    <w:p>
      <w:pPr>
        <w:widowControl w:val="0"/>
        <w:jc w:val="both"/>
      </w:pPr>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pPr>
        <w:pStyle w:val="4"/>
        <w:widowControl w:val="0"/>
      </w:pPr>
      <w:bookmarkStart w:id="128" w:name="_Toc90591010"/>
      <w:r>
        <w:t>逐月负荷表</w:t>
      </w:r>
      <w:bookmarkEnd w:id="1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100</w:t>
            </w:r>
          </w:p>
        </w:tc>
        <w:tc>
          <w:tcPr>
            <w:tcW w:w="1188" w:type="dxa"/>
            <w:vAlign w:val="center"/>
          </w:tcPr>
          <w:p>
            <w:pPr>
              <w:jc w:val="right"/>
            </w:pPr>
            <w:r>
              <w:t>0</w:t>
            </w:r>
          </w:p>
        </w:tc>
        <w:tc>
          <w:tcPr>
            <w:tcW w:w="1188" w:type="dxa"/>
            <w:vAlign w:val="center"/>
          </w:tcPr>
          <w:p>
            <w:pPr>
              <w:jc w:val="right"/>
            </w:pPr>
            <w:r>
              <w:t>3.004</w:t>
            </w:r>
          </w:p>
        </w:tc>
        <w:tc>
          <w:tcPr>
            <w:tcW w:w="1862" w:type="dxa"/>
            <w:vAlign w:val="center"/>
          </w:tcPr>
          <w:p>
            <w:r>
              <w:t>01月15日06时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3544</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16.594</w:t>
            </w:r>
          </w:p>
        </w:tc>
        <w:tc>
          <w:tcPr>
            <w:tcW w:w="1862" w:type="dxa"/>
            <w:vAlign w:val="center"/>
          </w:tcPr>
          <w:p>
            <w:r>
              <w:t>06月15日00时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9966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19.869</w:t>
            </w:r>
          </w:p>
        </w:tc>
        <w:tc>
          <w:tcPr>
            <w:tcW w:w="1862" w:type="dxa"/>
            <w:vAlign w:val="center"/>
          </w:tcPr>
          <w:p>
            <w:r>
              <w:rPr>
                <w:color w:val="0000FF"/>
              </w:rPr>
              <w:t>07月26日16时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8896</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18.418</w:t>
            </w:r>
          </w:p>
        </w:tc>
        <w:tc>
          <w:tcPr>
            <w:tcW w:w="1862" w:type="dxa"/>
            <w:vAlign w:val="center"/>
          </w:tcPr>
          <w:p>
            <w:r>
              <w:t>08月14日14时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872</w:t>
            </w:r>
          </w:p>
        </w:tc>
        <w:tc>
          <w:tcPr>
            <w:tcW w:w="1188" w:type="dxa"/>
            <w:vAlign w:val="center"/>
          </w:tcPr>
          <w:p>
            <w:pPr>
              <w:jc w:val="right"/>
            </w:pPr>
            <w:r>
              <w:t>0</w:t>
            </w:r>
          </w:p>
        </w:tc>
        <w:tc>
          <w:tcPr>
            <w:tcW w:w="1188" w:type="dxa"/>
            <w:vAlign w:val="center"/>
          </w:tcPr>
          <w:p>
            <w:pPr>
              <w:jc w:val="right"/>
            </w:pPr>
            <w:r>
              <w:rPr>
                <w:color w:val="FF0000"/>
              </w:rPr>
              <w:t>6.869</w:t>
            </w:r>
          </w:p>
        </w:tc>
        <w:tc>
          <w:tcPr>
            <w:tcW w:w="1862" w:type="dxa"/>
            <w:vAlign w:val="center"/>
          </w:tcPr>
          <w:p>
            <w:r>
              <w:rPr>
                <w:color w:val="FF0000"/>
              </w:rPr>
              <w:t>12月31日06时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38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38425"/>
                    </a:xfrm>
                    <a:prstGeom prst="rect">
                      <a:avLst/>
                    </a:prstGeom>
                  </pic:spPr>
                </pic:pic>
              </a:graphicData>
            </a:graphic>
          </wp:inline>
        </w:drawing>
      </w:r>
    </w:p>
    <w:p/>
    <w:p>
      <w:pPr>
        <w:widowControl w:val="0"/>
        <w:jc w:val="both"/>
      </w:pPr>
      <w:r>
        <w:drawing>
          <wp:inline distT="0" distB="0" distL="0" distR="0">
            <wp:extent cx="5667375" cy="2647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667375" cy="2647950"/>
                    </a:xfrm>
                    <a:prstGeom prst="rect">
                      <a:avLst/>
                    </a:prstGeom>
                  </pic:spPr>
                </pic:pic>
              </a:graphicData>
            </a:graphic>
          </wp:inline>
        </w:drawing>
      </w:r>
    </w:p>
    <w:p>
      <w:pPr>
        <w:pStyle w:val="4"/>
        <w:widowControl w:val="0"/>
      </w:pPr>
      <w:bookmarkStart w:id="129" w:name="_Toc90591011"/>
      <w:r>
        <w:t>围护结构节能率</w:t>
      </w:r>
      <w:bookmarkEnd w:id="12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130" w:name="设计建筑别名"/>
            <w:r>
              <w:rPr>
                <w:rFonts w:hint="eastAsia"/>
                <w:lang w:val="en-US"/>
              </w:rPr>
              <w:t>设计建筑</w:t>
            </w:r>
            <w:bookmarkEnd w:id="130"/>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131" w:name="参照建筑别名"/>
            <w:r>
              <w:rPr>
                <w:rFonts w:hint="eastAsia"/>
                <w:lang w:val="en-US"/>
              </w:rPr>
              <w:t>参照建筑</w:t>
            </w:r>
            <w:bookmarkEnd w:id="131"/>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132" w:name="节能率别名"/>
            <w:r>
              <w:rPr>
                <w:rFonts w:hint="eastAsia"/>
                <w:lang w:val="en-US"/>
              </w:rPr>
              <w:t>节能率</w:t>
            </w:r>
            <w:bookmarkEnd w:id="132"/>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877" w:type="pct"/>
            <w:vAlign w:val="center"/>
          </w:tcPr>
          <w:p>
            <w:pPr>
              <w:jc w:val="center"/>
              <w:rPr>
                <w:lang w:val="en-US"/>
              </w:rPr>
            </w:pPr>
            <w:bookmarkStart w:id="133" w:name="耗冷量2"/>
            <w:r>
              <w:rPr>
                <w:rFonts w:hint="eastAsia"/>
                <w:lang w:val="en-US"/>
              </w:rPr>
              <w:t>48.28</w:t>
            </w:r>
            <w:bookmarkEnd w:id="133"/>
          </w:p>
        </w:tc>
        <w:tc>
          <w:tcPr>
            <w:tcW w:w="877" w:type="pct"/>
            <w:vAlign w:val="center"/>
          </w:tcPr>
          <w:p>
            <w:pPr>
              <w:jc w:val="center"/>
              <w:rPr>
                <w:lang w:val="en-US"/>
              </w:rPr>
            </w:pPr>
            <w:bookmarkStart w:id="134" w:name="参照建筑耗冷量2"/>
            <w:r>
              <w:rPr>
                <w:rFonts w:hint="eastAsia"/>
                <w:lang w:val="en-US"/>
              </w:rPr>
              <w:t>63.26</w:t>
            </w:r>
            <w:bookmarkEnd w:id="134"/>
          </w:p>
        </w:tc>
        <w:tc>
          <w:tcPr>
            <w:tcW w:w="961" w:type="pct"/>
            <w:vAlign w:val="center"/>
          </w:tcPr>
          <w:p>
            <w:pPr>
              <w:jc w:val="center"/>
              <w:rPr>
                <w:lang w:val="en-US"/>
              </w:rPr>
            </w:pPr>
            <w:bookmarkStart w:id="135" w:name="节能率耗冷量2"/>
            <w:r>
              <w:rPr>
                <w:rFonts w:hint="eastAsia"/>
                <w:lang w:val="en-US"/>
              </w:rPr>
              <w:t>23.69%</w:t>
            </w:r>
            <w:bookmarkEnd w:id="1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136" w:name="耗热量2"/>
            <w:r>
              <w:rPr>
                <w:rFonts w:hint="eastAsia"/>
                <w:lang w:val="en-US"/>
              </w:rPr>
              <w:t>2.09</w:t>
            </w:r>
            <w:bookmarkEnd w:id="136"/>
          </w:p>
        </w:tc>
        <w:tc>
          <w:tcPr>
            <w:tcW w:w="877" w:type="pct"/>
            <w:vAlign w:val="center"/>
          </w:tcPr>
          <w:p>
            <w:pPr>
              <w:jc w:val="center"/>
              <w:rPr>
                <w:lang w:val="en-US"/>
              </w:rPr>
            </w:pPr>
            <w:bookmarkStart w:id="137" w:name="参照建筑耗热量2"/>
            <w:r>
              <w:rPr>
                <w:rFonts w:hint="eastAsia"/>
                <w:lang w:val="en-US"/>
              </w:rPr>
              <w:t>7.73</w:t>
            </w:r>
            <w:bookmarkEnd w:id="137"/>
          </w:p>
        </w:tc>
        <w:tc>
          <w:tcPr>
            <w:tcW w:w="961" w:type="pct"/>
            <w:vAlign w:val="center"/>
          </w:tcPr>
          <w:p>
            <w:pPr>
              <w:jc w:val="center"/>
              <w:rPr>
                <w:lang w:val="en-US"/>
              </w:rPr>
            </w:pPr>
            <w:bookmarkStart w:id="138" w:name="节能率耗热量2"/>
            <w:r>
              <w:rPr>
                <w:rFonts w:hint="eastAsia"/>
                <w:lang w:val="en-US"/>
              </w:rPr>
              <w:t>72.92%</w:t>
            </w:r>
            <w:bookmarkEnd w:id="1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877" w:type="pct"/>
            <w:vAlign w:val="center"/>
          </w:tcPr>
          <w:p>
            <w:pPr>
              <w:jc w:val="center"/>
              <w:rPr>
                <w:lang w:val="en-US"/>
              </w:rPr>
            </w:pPr>
            <w:bookmarkStart w:id="139" w:name="耗冷耗热量2"/>
            <w:r>
              <w:rPr>
                <w:rFonts w:hint="eastAsia"/>
                <w:lang w:val="en-US"/>
              </w:rPr>
              <w:t>50.37</w:t>
            </w:r>
            <w:bookmarkEnd w:id="139"/>
          </w:p>
        </w:tc>
        <w:tc>
          <w:tcPr>
            <w:tcW w:w="877" w:type="pct"/>
            <w:vAlign w:val="center"/>
          </w:tcPr>
          <w:p>
            <w:pPr>
              <w:jc w:val="center"/>
              <w:rPr>
                <w:lang w:val="en-US"/>
              </w:rPr>
            </w:pPr>
            <w:bookmarkStart w:id="140" w:name="参照建筑耗冷耗热量2"/>
            <w:r>
              <w:rPr>
                <w:rFonts w:hint="eastAsia"/>
                <w:lang w:val="en-US"/>
              </w:rPr>
              <w:t>71.00</w:t>
            </w:r>
            <w:bookmarkEnd w:id="140"/>
          </w:p>
        </w:tc>
        <w:tc>
          <w:tcPr>
            <w:tcW w:w="961" w:type="pct"/>
            <w:vAlign w:val="center"/>
          </w:tcPr>
          <w:p>
            <w:pPr>
              <w:jc w:val="center"/>
              <w:rPr>
                <w:lang w:val="en-US"/>
              </w:rPr>
            </w:pPr>
            <w:bookmarkStart w:id="141" w:name="节能率耗冷耗热量2"/>
            <w:r>
              <w:rPr>
                <w:rFonts w:hint="eastAsia"/>
                <w:lang w:val="en-US"/>
              </w:rPr>
              <w:t>29.05%</w:t>
            </w:r>
            <w:bookmarkEnd w:id="14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42" w:name="供冷综合效率折算权重"/>
            <w:r>
              <w:rPr>
                <w:rFonts w:hint="eastAsia"/>
                <w:lang w:val="en-US"/>
              </w:rPr>
              <w:t>2.8</w:t>
            </w:r>
            <w:bookmarkEnd w:id="142"/>
          </w:p>
        </w:tc>
        <w:tc>
          <w:tcPr>
            <w:tcW w:w="877" w:type="pct"/>
            <w:vAlign w:val="center"/>
          </w:tcPr>
          <w:p>
            <w:pPr>
              <w:jc w:val="center"/>
              <w:rPr>
                <w:lang w:val="en-US"/>
              </w:rPr>
            </w:pPr>
            <w:bookmarkStart w:id="143" w:name="供冷综合效率折算权重2"/>
            <w:r>
              <w:rPr>
                <w:rFonts w:hint="eastAsia"/>
                <w:lang w:val="en-US"/>
              </w:rPr>
              <w:t>2.8</w:t>
            </w:r>
            <w:bookmarkEnd w:id="143"/>
          </w:p>
        </w:tc>
        <w:tc>
          <w:tcPr>
            <w:tcW w:w="961" w:type="pct"/>
            <w:vMerge w:val="restart"/>
            <w:vAlign w:val="center"/>
          </w:tcPr>
          <w:p>
            <w:pPr>
              <w:jc w:val="center"/>
              <w:rPr>
                <w:lang w:val="en-US"/>
              </w:rPr>
            </w:pPr>
            <w:bookmarkStart w:id="144" w:name="节能率空调能耗"/>
            <w:r>
              <w:rPr>
                <w:rFonts w:hint="eastAsia"/>
                <w:lang w:val="en-US"/>
              </w:rPr>
              <w:t>23.69%</w:t>
            </w:r>
            <w:bookmarkEnd w:id="1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877" w:type="pct"/>
            <w:vAlign w:val="center"/>
          </w:tcPr>
          <w:p>
            <w:pPr>
              <w:jc w:val="center"/>
              <w:rPr>
                <w:lang w:val="en-US"/>
              </w:rPr>
            </w:pPr>
            <w:bookmarkStart w:id="145" w:name="空调能耗"/>
            <w:r>
              <w:rPr>
                <w:rFonts w:hint="eastAsia"/>
                <w:lang w:val="en-US"/>
              </w:rPr>
              <w:t>20.99</w:t>
            </w:r>
            <w:bookmarkEnd w:id="145"/>
          </w:p>
        </w:tc>
        <w:tc>
          <w:tcPr>
            <w:tcW w:w="877" w:type="pct"/>
            <w:vAlign w:val="center"/>
          </w:tcPr>
          <w:p>
            <w:pPr>
              <w:jc w:val="center"/>
              <w:rPr>
                <w:lang w:val="en-US"/>
              </w:rPr>
            </w:pPr>
            <w:bookmarkStart w:id="146" w:name="参照建筑空调能耗"/>
            <w:r>
              <w:rPr>
                <w:rFonts w:hint="eastAsia"/>
                <w:lang w:val="en-US"/>
              </w:rPr>
              <w:t>27.51</w:t>
            </w:r>
            <w:bookmarkEnd w:id="146"/>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47" w:name="供暖综合效率折算权重"/>
            <w:r>
              <w:rPr>
                <w:rFonts w:hint="eastAsia"/>
                <w:lang w:val="en-US"/>
              </w:rPr>
              <w:t>1.8</w:t>
            </w:r>
            <w:bookmarkEnd w:id="147"/>
          </w:p>
        </w:tc>
        <w:tc>
          <w:tcPr>
            <w:tcW w:w="877" w:type="pct"/>
            <w:vAlign w:val="center"/>
          </w:tcPr>
          <w:p>
            <w:pPr>
              <w:jc w:val="center"/>
              <w:rPr>
                <w:lang w:val="en-US"/>
              </w:rPr>
            </w:pPr>
            <w:bookmarkStart w:id="148" w:name="供暖综合效率折算权重2"/>
            <w:r>
              <w:rPr>
                <w:rFonts w:hint="eastAsia"/>
                <w:lang w:val="en-US"/>
              </w:rPr>
              <w:t>1.8</w:t>
            </w:r>
            <w:bookmarkEnd w:id="148"/>
          </w:p>
        </w:tc>
        <w:tc>
          <w:tcPr>
            <w:tcW w:w="961" w:type="pct"/>
            <w:vMerge w:val="restart"/>
            <w:vAlign w:val="center"/>
          </w:tcPr>
          <w:p>
            <w:pPr>
              <w:jc w:val="center"/>
              <w:rPr>
                <w:lang w:val="en-US"/>
              </w:rPr>
            </w:pPr>
            <w:bookmarkStart w:id="149" w:name="节能率供暖能耗"/>
            <w:r>
              <w:rPr>
                <w:rFonts w:hint="eastAsia"/>
                <w:lang w:val="en-US"/>
              </w:rPr>
              <w:t>72.92%</w:t>
            </w:r>
            <w:bookmarkEnd w:id="1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877" w:type="pct"/>
            <w:vAlign w:val="center"/>
          </w:tcPr>
          <w:p>
            <w:pPr>
              <w:jc w:val="center"/>
              <w:rPr>
                <w:lang w:val="en-US"/>
              </w:rPr>
            </w:pPr>
            <w:bookmarkStart w:id="150" w:name="供暖能耗"/>
            <w:r>
              <w:rPr>
                <w:rFonts w:hint="eastAsia"/>
                <w:lang w:val="en-US"/>
              </w:rPr>
              <w:t>1.10</w:t>
            </w:r>
            <w:bookmarkEnd w:id="150"/>
          </w:p>
        </w:tc>
        <w:tc>
          <w:tcPr>
            <w:tcW w:w="877" w:type="pct"/>
            <w:vAlign w:val="center"/>
          </w:tcPr>
          <w:p>
            <w:pPr>
              <w:jc w:val="center"/>
              <w:rPr>
                <w:lang w:val="en-US"/>
              </w:rPr>
            </w:pPr>
            <w:bookmarkStart w:id="151" w:name="参照建筑供暖能耗"/>
            <w:r>
              <w:rPr>
                <w:rFonts w:hint="eastAsia"/>
                <w:lang w:val="en-US"/>
              </w:rPr>
              <w:t>4.07</w:t>
            </w:r>
            <w:bookmarkEnd w:id="151"/>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jc w:val="center"/>
              <w:rPr>
                <w:lang w:val="en-US"/>
              </w:rPr>
            </w:pPr>
            <w:bookmarkStart w:id="152" w:name="空调供暖能耗"/>
            <w:r>
              <w:rPr>
                <w:rFonts w:hint="eastAsia"/>
                <w:lang w:val="en-US"/>
              </w:rPr>
              <w:t>22.09</w:t>
            </w:r>
            <w:bookmarkEnd w:id="152"/>
          </w:p>
        </w:tc>
        <w:tc>
          <w:tcPr>
            <w:tcW w:w="877" w:type="pct"/>
            <w:vAlign w:val="center"/>
          </w:tcPr>
          <w:p>
            <w:pPr>
              <w:jc w:val="center"/>
              <w:rPr>
                <w:lang w:val="en-US"/>
              </w:rPr>
            </w:pPr>
            <w:bookmarkStart w:id="153" w:name="参照建筑空调供暖能耗"/>
            <w:r>
              <w:rPr>
                <w:rFonts w:hint="eastAsia"/>
                <w:lang w:val="en-US"/>
              </w:rPr>
              <w:t>31.58</w:t>
            </w:r>
            <w:bookmarkEnd w:id="153"/>
          </w:p>
        </w:tc>
        <w:tc>
          <w:tcPr>
            <w:tcW w:w="961" w:type="pct"/>
            <w:vAlign w:val="center"/>
          </w:tcPr>
          <w:p>
            <w:pPr>
              <w:jc w:val="center"/>
              <w:rPr>
                <w:lang w:val="en-US"/>
              </w:rPr>
            </w:pPr>
            <w:bookmarkStart w:id="154" w:name="节能率空调供暖能耗"/>
            <w:r>
              <w:rPr>
                <w:rFonts w:hint="eastAsia"/>
                <w:lang w:val="en-US"/>
              </w:rPr>
              <w:t>30.03%</w:t>
            </w:r>
            <w:bookmarkEnd w:id="154"/>
          </w:p>
        </w:tc>
      </w:tr>
    </w:tbl>
    <w:p>
      <w:pPr>
        <w:jc w:val="center"/>
        <w:rPr>
          <w:sz w:val="20"/>
          <w:lang w:val="en-US"/>
        </w:rPr>
      </w:pPr>
    </w:p>
    <w:p>
      <w:pPr>
        <w:widowControl w:val="0"/>
        <w:jc w:val="both"/>
      </w:pPr>
    </w:p>
    <w:p>
      <w:pPr>
        <w:pStyle w:val="2"/>
        <w:widowControl w:val="0"/>
        <w:jc w:val="both"/>
      </w:pPr>
      <w:bookmarkStart w:id="155" w:name="_Toc90591012"/>
      <w:r>
        <w:t>绿色建筑性能评估得分</w:t>
      </w:r>
      <w:bookmarkEnd w:id="155"/>
    </w:p>
    <w:p>
      <w:pPr>
        <w:pStyle w:val="4"/>
        <w:widowControl w:val="0"/>
      </w:pPr>
      <w:bookmarkStart w:id="156" w:name="_Toc90591013"/>
      <w:r>
        <w:t>优化建筑围护结构的热工性能</w:t>
      </w:r>
      <w:bookmarkEnd w:id="156"/>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1</w:t>
            </w:r>
          </w:p>
        </w:tc>
        <w:tc>
          <w:tcPr>
            <w:tcW w:w="3792" w:type="dxa"/>
            <w:vAlign w:val="center"/>
          </w:tcPr>
          <w:p>
            <w:r>
              <w:t>建筑供暖空调负荷降低5%</w:t>
            </w:r>
          </w:p>
        </w:tc>
        <w:tc>
          <w:tcPr>
            <w:tcW w:w="1839" w:type="dxa"/>
            <w:vAlign w:val="center"/>
          </w:tcPr>
          <w:p>
            <w:r>
              <w:t>5</w:t>
            </w:r>
          </w:p>
        </w:tc>
        <w:tc>
          <w:tcPr>
            <w:tcW w:w="1839" w:type="dxa"/>
            <w:vMerge w:val="restart"/>
            <w:vAlign w:val="center"/>
          </w:tcPr>
          <w:p>
            <w:pPr>
              <w:jc w:val="center"/>
            </w:pPr>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2</w:t>
            </w:r>
          </w:p>
        </w:tc>
        <w:tc>
          <w:tcPr>
            <w:tcW w:w="3792" w:type="dxa"/>
            <w:vAlign w:val="center"/>
          </w:tcPr>
          <w:p>
            <w:r>
              <w:t>建筑供暖空调负荷降低10%</w:t>
            </w:r>
          </w:p>
        </w:tc>
        <w:tc>
          <w:tcPr>
            <w:tcW w:w="1839" w:type="dxa"/>
            <w:vAlign w:val="center"/>
          </w:tcPr>
          <w:p>
            <w:r>
              <w:t>10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3</w:t>
            </w:r>
          </w:p>
        </w:tc>
        <w:tc>
          <w:tcPr>
            <w:tcW w:w="3792" w:type="dxa"/>
            <w:vAlign w:val="center"/>
          </w:tcPr>
          <w:p>
            <w:r>
              <w:t>建筑供暖空调负荷降低15%</w:t>
            </w:r>
          </w:p>
        </w:tc>
        <w:tc>
          <w:tcPr>
            <w:tcW w:w="1839" w:type="dxa"/>
            <w:vAlign w:val="center"/>
          </w:tcPr>
          <w:p>
            <w:r>
              <w:t>15</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50378-2019第7.2.4条</w:t>
            </w:r>
          </w:p>
        </w:tc>
      </w:tr>
    </w:tbl>
    <w:p>
      <w:pPr>
        <w:widowControl w:val="0"/>
        <w:jc w:val="center"/>
      </w:pPr>
      <w:r>
        <w:drawing>
          <wp:inline distT="0" distB="0" distL="0" distR="0">
            <wp:extent cx="5667375" cy="5219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667375" cy="5219700"/>
                    </a:xfrm>
                    <a:prstGeom prst="rect">
                      <a:avLst/>
                    </a:prstGeom>
                  </pic:spPr>
                </pic:pic>
              </a:graphicData>
            </a:graphic>
          </wp:inline>
        </w:drawing>
      </w:r>
      <w:r>
        <w:drawing>
          <wp:inline distT="0" distB="0" distL="0" distR="0">
            <wp:extent cx="5667375" cy="5238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5238750"/>
                    </a:xfrm>
                    <a:prstGeom prst="rect">
                      <a:avLst/>
                    </a:prstGeom>
                  </pic:spPr>
                </pic:pic>
              </a:graphicData>
            </a:graphic>
          </wp:inline>
        </w:drawing>
      </w:r>
    </w:p>
    <w:p/>
    <w:p>
      <w:pPr>
        <w:jc w:val="center"/>
      </w:pPr>
      <w:r>
        <w:drawing>
          <wp:inline distT="0" distB="0" distL="0" distR="0">
            <wp:extent cx="5667375" cy="4124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41243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57" w:name="_Toc90591014"/>
      <w:r>
        <w:t>附录</w:t>
      </w:r>
      <w:bookmarkEnd w:id="157"/>
    </w:p>
    <w:p>
      <w:pPr>
        <w:pStyle w:val="4"/>
      </w:pPr>
      <w:bookmarkStart w:id="158" w:name="_Toc90591015"/>
      <w:r>
        <w:t>工作日/节假日人员逐时在室率(%)</w:t>
      </w:r>
      <w:bookmarkEnd w:id="158"/>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bl>
    <w:p>
      <w:pPr>
        <w:jc w:val="both"/>
      </w:pPr>
    </w:p>
    <w:p>
      <w:r>
        <w:t>注：上行：工作日；下行：节假日</w:t>
      </w:r>
    </w:p>
    <w:p>
      <w:pPr>
        <w:pStyle w:val="4"/>
      </w:pPr>
      <w:bookmarkStart w:id="159" w:name="_Toc90591016"/>
      <w:r>
        <w:t>工作日/节假日照明开关时间表(%)</w:t>
      </w:r>
      <w:bookmarkEnd w:id="159"/>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bl>
    <w:p/>
    <w:p>
      <w:r>
        <w:t>注：上行：工作日；下行：节假日</w:t>
      </w:r>
    </w:p>
    <w:p>
      <w:pPr>
        <w:pStyle w:val="4"/>
      </w:pPr>
      <w:bookmarkStart w:id="160" w:name="_Toc90591017"/>
      <w:r>
        <w:t>工作日/节假日设备逐时使用率(%)</w:t>
      </w:r>
      <w:bookmarkEnd w:id="160"/>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89"/>
    <w:rsid w:val="00005553"/>
    <w:rsid w:val="00024A13"/>
    <w:rsid w:val="00031D69"/>
    <w:rsid w:val="00037A4C"/>
    <w:rsid w:val="000D5BDD"/>
    <w:rsid w:val="000F7EF2"/>
    <w:rsid w:val="00121509"/>
    <w:rsid w:val="00122AE1"/>
    <w:rsid w:val="0014776A"/>
    <w:rsid w:val="00161389"/>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364B"/>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87D73"/>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1F1A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Company>ths</Company>
  <Pages>14</Pages>
  <Words>1367</Words>
  <Characters>7797</Characters>
  <Lines>64</Lines>
  <Paragraphs>18</Paragraphs>
  <TotalTime>459</TotalTime>
  <ScaleCrop>false</ScaleCrop>
  <LinksUpToDate>false</LinksUpToDate>
  <CharactersWithSpaces>9146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2021-12-16T15:49:00Z</dcterms:created>
  <dc:creator>钱浩瀚</dc:creator>
  <cp:lastModifiedBy>轻焱。</cp:lastModifiedBy>
  <cp:lastPrinted>2411-12-31T16:00:00Z</cp:lastPrinted>
  <dcterms:modified xsi:type="dcterms:W3CDTF">2022-03-05T16:20:39Z</dcterms:modified>
  <dc:title>围护结构节能率计算书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6FC2E365B4434F82B37E1056C5C42E51</vt:lpwstr>
  </property>
</Properties>
</file>