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ind w:firstLine="194" w:firstLineChars="27"/>
        <w:rPr>
          <w:rFonts w:hint="eastAsia" w:eastAsia="微软雅黑"/>
          <w:b/>
          <w:bCs/>
          <w:sz w:val="72"/>
          <w:szCs w:val="72"/>
          <w:lang w:val="en-US" w:eastAsia="zh-CN"/>
        </w:rPr>
      </w:pPr>
      <w:r>
        <w:rPr>
          <w:rFonts w:hint="eastAsia"/>
          <w:b/>
          <w:bCs/>
          <w:sz w:val="72"/>
          <w:szCs w:val="72"/>
          <w:lang w:val="en-US" w:eastAsia="zh-CN"/>
        </w:rPr>
        <w:t xml:space="preserve"> </w:t>
      </w:r>
      <w:bookmarkStart w:id="92" w:name="_GoBack"/>
      <w:bookmarkEnd w:id="92"/>
    </w:p>
    <w:p>
      <w:pPr>
        <w:spacing w:line="276" w:lineRule="auto"/>
        <w:rPr>
          <w:rFonts w:ascii="黑体" w:hAnsi="黑体" w:eastAsia="黑体"/>
          <w:b/>
          <w:spacing w:val="60"/>
          <w:sz w:val="72"/>
          <w:szCs w:val="72"/>
        </w:rPr>
      </w:pPr>
      <w:r>
        <w:rPr>
          <w:rFonts w:hint="eastAsia" w:ascii="黑体" w:hAnsi="黑体" w:eastAsia="黑体"/>
          <w:b/>
          <w:spacing w:val="60"/>
          <w:sz w:val="72"/>
          <w:szCs w:val="72"/>
        </w:rPr>
        <w:t>动态采光报告书</w:t>
      </w:r>
    </w:p>
    <w:p>
      <w:pPr>
        <w:spacing w:line="276" w:lineRule="auto"/>
        <w:rPr>
          <w:rFonts w:ascii="黑体" w:hAnsi="黑体" w:eastAsia="黑体"/>
          <w:spacing w:val="60"/>
          <w:sz w:val="52"/>
          <w:szCs w:val="44"/>
        </w:rPr>
      </w:pPr>
      <w:r>
        <w:rPr>
          <w:rFonts w:hint="eastAsia" w:ascii="黑体" w:hAnsi="黑体" w:eastAsia="黑体"/>
          <w:spacing w:val="60"/>
          <w:sz w:val="52"/>
          <w:szCs w:val="44"/>
        </w:rPr>
        <w:t>住宅建筑</w:t>
      </w:r>
    </w:p>
    <w:p>
      <w:pPr>
        <w:rPr>
          <w:rFonts w:ascii="黑体" w:hAnsi="黑体" w:eastAsia="黑体"/>
          <w:sz w:val="44"/>
          <w:szCs w:val="44"/>
        </w:rPr>
      </w:pPr>
    </w:p>
    <w:p>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2021年12月13日</w:t>
            </w:r>
            <w:bookmarkEnd w:id="6"/>
          </w:p>
        </w:tc>
      </w:tr>
    </w:tbl>
    <w:p>
      <w:pPr>
        <w:ind w:firstLine="562"/>
        <w:rPr>
          <w:rFonts w:ascii="黑体" w:hAnsi="黑体" w:eastAsia="黑体"/>
          <w:b/>
          <w:bCs/>
          <w:sz w:val="28"/>
          <w:szCs w:val="28"/>
        </w:rPr>
      </w:pPr>
    </w:p>
    <w:p>
      <w:pPr>
        <w:ind w:firstLine="602"/>
        <w:rPr>
          <w:rFonts w:ascii="黑体" w:hAnsi="黑体" w:eastAsia="黑体"/>
          <w:b/>
          <w:bCs/>
          <w:sz w:val="30"/>
          <w:szCs w:val="32"/>
        </w:rPr>
      </w:pPr>
      <w:bookmarkStart w:id="7" w:name="二维码"/>
      <w:bookmarkEnd w:id="7"/>
      <w:r>
        <w:drawing>
          <wp:inline distT="0" distB="0" distL="0" distR="0">
            <wp:extent cx="2171700" cy="21717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pPr>
        <w:ind w:firstLine="602"/>
        <w:rPr>
          <w:rFonts w:ascii="黑体" w:hAnsi="黑体" w:eastAsia="黑体"/>
          <w:b/>
          <w:bCs/>
          <w:sz w:val="30"/>
          <w:szCs w:val="32"/>
        </w:rPr>
      </w:pPr>
    </w:p>
    <w:p>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20200808(SP1)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T15926873380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pPr>
        <w:ind w:firstLine="560"/>
        <w:rPr>
          <w:sz w:val="28"/>
          <w:szCs w:val="28"/>
        </w:rPr>
      </w:pPr>
      <w:bookmarkStart w:id="10" w:name="目录"/>
      <w:r>
        <w:rPr>
          <w:rFonts w:hint="eastAsia"/>
          <w:sz w:val="28"/>
          <w:szCs w:val="28"/>
        </w:rPr>
        <w:t>目  录</w:t>
      </w:r>
    </w:p>
    <w:p>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_Toc13345 </w:instrText>
      </w:r>
      <w:r>
        <w:rPr>
          <w:szCs w:val="28"/>
        </w:rPr>
        <w:fldChar w:fldCharType="separate"/>
      </w:r>
      <w:r>
        <w:rPr>
          <w:rFonts w:hint="eastAsia" w:ascii="微软雅黑" w:hAnsi="微软雅黑"/>
        </w:rPr>
        <w:t>1. 建筑概况</w:t>
      </w:r>
      <w:r>
        <w:tab/>
      </w:r>
      <w:r>
        <w:fldChar w:fldCharType="begin"/>
      </w:r>
      <w:r>
        <w:instrText xml:space="preserve"> PAGEREF _Toc13345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_Toc23050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_Toc23050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_Toc11845 </w:instrText>
      </w:r>
      <w:r>
        <w:rPr>
          <w:szCs w:val="28"/>
        </w:rPr>
        <w:fldChar w:fldCharType="separate"/>
      </w:r>
      <w:r>
        <w:rPr>
          <w:rFonts w:hint="eastAsia" w:ascii="微软雅黑" w:hAnsi="微软雅黑"/>
        </w:rPr>
        <w:t>3. 分析依据</w:t>
      </w:r>
      <w:r>
        <w:tab/>
      </w:r>
      <w:r>
        <w:fldChar w:fldCharType="begin"/>
      </w:r>
      <w:r>
        <w:instrText xml:space="preserve"> PAGEREF _Toc11845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_Toc18272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_Toc18272 \h </w:instrText>
      </w:r>
      <w:r>
        <w:fldChar w:fldCharType="separate"/>
      </w:r>
      <w:r>
        <w:t>3</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_Toc17304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_Toc17304 \h </w:instrText>
      </w:r>
      <w:r>
        <w:fldChar w:fldCharType="separate"/>
      </w:r>
      <w:r>
        <w:t>3</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_Toc7560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_Toc7560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_Toc29790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基本原理</w:t>
      </w:r>
      <w:r>
        <w:tab/>
      </w:r>
      <w:r>
        <w:fldChar w:fldCharType="begin"/>
      </w:r>
      <w:r>
        <w:instrText xml:space="preserve"> PAGEREF _Toc29790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_Toc4255 </w:instrText>
      </w:r>
      <w:r>
        <w:rPr>
          <w:szCs w:val="28"/>
        </w:rPr>
        <w:fldChar w:fldCharType="separate"/>
      </w:r>
      <w:r>
        <w:rPr>
          <w:rFonts w:hint="eastAsia" w:ascii="微软雅黑" w:hAnsi="微软雅黑" w:eastAsia="微软雅黑"/>
          <w:lang w:val="en-GB"/>
        </w:rPr>
        <w:t xml:space="preserve">4.2 </w:t>
      </w:r>
      <w:r>
        <w:rPr>
          <w:rFonts w:hint="eastAsia" w:ascii="微软雅黑" w:hAnsi="微软雅黑"/>
        </w:rPr>
        <w:t>计算方法</w:t>
      </w:r>
      <w:r>
        <w:tab/>
      </w:r>
      <w:r>
        <w:fldChar w:fldCharType="begin"/>
      </w:r>
      <w:r>
        <w:instrText xml:space="preserve"> PAGEREF _Toc4255 \h </w:instrText>
      </w:r>
      <w:r>
        <w:fldChar w:fldCharType="separate"/>
      </w:r>
      <w:r>
        <w:t>4</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_Toc11648 </w:instrText>
      </w:r>
      <w:r>
        <w:rPr>
          <w:szCs w:val="28"/>
        </w:rPr>
        <w:fldChar w:fldCharType="separate"/>
      </w:r>
      <w:r>
        <w:rPr>
          <w:rFonts w:hint="eastAsia" w:ascii="微软雅黑" w:hAnsi="微软雅黑" w:eastAsia="微软雅黑"/>
          <w:lang w:val="en-GB"/>
        </w:rPr>
        <w:t xml:space="preserve">4.3 </w:t>
      </w:r>
      <w:r>
        <w:rPr>
          <w:rFonts w:ascii="微软雅黑" w:hAnsi="微软雅黑"/>
        </w:rPr>
        <w:t>软件</w:t>
      </w:r>
      <w:r>
        <w:rPr>
          <w:rFonts w:hint="eastAsia" w:ascii="微软雅黑" w:hAnsi="微软雅黑"/>
        </w:rPr>
        <w:t>选用</w:t>
      </w:r>
      <w:r>
        <w:tab/>
      </w:r>
      <w:r>
        <w:fldChar w:fldCharType="begin"/>
      </w:r>
      <w:r>
        <w:instrText xml:space="preserve"> PAGEREF _Toc11648 \h </w:instrText>
      </w:r>
      <w:r>
        <w:fldChar w:fldCharType="separate"/>
      </w:r>
      <w:r>
        <w:t>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_Toc17954 </w:instrText>
      </w:r>
      <w:r>
        <w:rPr>
          <w:szCs w:val="28"/>
        </w:rPr>
        <w:fldChar w:fldCharType="separate"/>
      </w:r>
      <w:r>
        <w:rPr>
          <w:rFonts w:hint="eastAsia" w:ascii="微软雅黑" w:hAnsi="微软雅黑"/>
        </w:rPr>
        <w:t>5. 计算参数选用</w:t>
      </w:r>
      <w:r>
        <w:tab/>
      </w:r>
      <w:r>
        <w:fldChar w:fldCharType="begin"/>
      </w:r>
      <w:r>
        <w:instrText xml:space="preserve"> PAGEREF _Toc17954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_Toc8667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_Toc8667 \h </w:instrText>
      </w:r>
      <w:r>
        <w:fldChar w:fldCharType="separate"/>
      </w:r>
      <w:r>
        <w:t>5</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_Toc903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_Toc903 \h </w:instrText>
      </w:r>
      <w:r>
        <w:fldChar w:fldCharType="separate"/>
      </w:r>
      <w:r>
        <w:t>6</w:t>
      </w:r>
      <w:r>
        <w:fldChar w:fldCharType="end"/>
      </w:r>
      <w:r>
        <w:rPr>
          <w:szCs w:val="28"/>
        </w:rPr>
        <w:fldChar w:fldCharType="end"/>
      </w:r>
    </w:p>
    <w:p>
      <w:pPr>
        <w:pStyle w:val="20"/>
        <w:tabs>
          <w:tab w:val="right" w:leader="dot" w:pos="9070"/>
          <w:tab w:val="clear" w:pos="540"/>
          <w:tab w:val="clear" w:pos="840"/>
          <w:tab w:val="clear" w:pos="9360"/>
        </w:tabs>
      </w:pPr>
      <w:r>
        <w:rPr>
          <w:szCs w:val="28"/>
        </w:rPr>
        <w:fldChar w:fldCharType="begin"/>
      </w:r>
      <w:r>
        <w:rPr>
          <w:szCs w:val="28"/>
        </w:rPr>
        <w:instrText xml:space="preserve"> HYPERLINK \l _Toc3821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_Toc3821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_Toc28329 </w:instrText>
      </w:r>
      <w:r>
        <w:rPr>
          <w:szCs w:val="28"/>
        </w:rPr>
        <w:fldChar w:fldCharType="separate"/>
      </w:r>
      <w:r>
        <w:rPr>
          <w:rFonts w:hint="eastAsia" w:eastAsia="宋体"/>
          <w:szCs w:val="24"/>
          <w:lang w:val="en-GB"/>
        </w:rPr>
        <w:t xml:space="preserve">5.3.1 </w:t>
      </w:r>
      <w:r>
        <w:rPr>
          <w:rFonts w:hint="eastAsia"/>
        </w:rPr>
        <w:t>透光门</w:t>
      </w:r>
      <w:r>
        <w:tab/>
      </w:r>
      <w:r>
        <w:fldChar w:fldCharType="begin"/>
      </w:r>
      <w:r>
        <w:instrText xml:space="preserve"> PAGEREF _Toc28329 \h </w:instrText>
      </w:r>
      <w:r>
        <w:fldChar w:fldCharType="separate"/>
      </w:r>
      <w:r>
        <w:t>6</w:t>
      </w:r>
      <w:r>
        <w:fldChar w:fldCharType="end"/>
      </w:r>
      <w:r>
        <w:rPr>
          <w:szCs w:val="28"/>
        </w:rPr>
        <w:fldChar w:fldCharType="end"/>
      </w:r>
    </w:p>
    <w:p>
      <w:pPr>
        <w:pStyle w:val="15"/>
        <w:tabs>
          <w:tab w:val="right" w:leader="dot" w:pos="9070"/>
          <w:tab w:val="clear" w:pos="900"/>
          <w:tab w:val="clear" w:pos="1260"/>
          <w:tab w:val="clear" w:pos="9360"/>
        </w:tabs>
      </w:pPr>
      <w:r>
        <w:rPr>
          <w:szCs w:val="28"/>
        </w:rPr>
        <w:fldChar w:fldCharType="begin"/>
      </w:r>
      <w:r>
        <w:rPr>
          <w:szCs w:val="28"/>
        </w:rPr>
        <w:instrText xml:space="preserve"> HYPERLINK \l _Toc20507 </w:instrText>
      </w:r>
      <w:r>
        <w:rPr>
          <w:szCs w:val="28"/>
        </w:rPr>
        <w:fldChar w:fldCharType="separate"/>
      </w:r>
      <w:r>
        <w:rPr>
          <w:rFonts w:hint="eastAsia" w:eastAsia="宋体"/>
          <w:szCs w:val="24"/>
          <w:lang w:val="en-GB"/>
        </w:rPr>
        <w:t xml:space="preserve">5.3.2 </w:t>
      </w:r>
      <w:r>
        <w:t>普通</w:t>
      </w:r>
      <w:r>
        <w:rPr>
          <w:rFonts w:hint="eastAsia"/>
        </w:rPr>
        <w:t>窗</w:t>
      </w:r>
      <w:r>
        <w:tab/>
      </w:r>
      <w:r>
        <w:fldChar w:fldCharType="begin"/>
      </w:r>
      <w:r>
        <w:instrText xml:space="preserve"> PAGEREF _Toc20507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_Toc22154 </w:instrText>
      </w:r>
      <w:r>
        <w:rPr>
          <w:szCs w:val="28"/>
        </w:rPr>
        <w:fldChar w:fldCharType="separate"/>
      </w:r>
      <w:r>
        <w:rPr>
          <w:rFonts w:hint="eastAsia" w:ascii="微软雅黑" w:hAnsi="微软雅黑"/>
        </w:rPr>
        <w:t>6. 动态采光达标统计</w:t>
      </w:r>
      <w:r>
        <w:tab/>
      </w:r>
      <w:r>
        <w:fldChar w:fldCharType="begin"/>
      </w:r>
      <w:r>
        <w:instrText xml:space="preserve"> PAGEREF _Toc22154 \h </w:instrText>
      </w:r>
      <w:r>
        <w:fldChar w:fldCharType="separate"/>
      </w:r>
      <w:r>
        <w:t>7</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_Toc31963 </w:instrText>
      </w:r>
      <w:r>
        <w:rPr>
          <w:szCs w:val="28"/>
        </w:rPr>
        <w:fldChar w:fldCharType="separate"/>
      </w:r>
      <w:r>
        <w:rPr>
          <w:rFonts w:hint="eastAsia" w:ascii="微软雅黑" w:hAnsi="微软雅黑"/>
        </w:rPr>
        <w:t>7. 动态采光统计图</w:t>
      </w:r>
      <w:r>
        <w:tab/>
      </w:r>
      <w:r>
        <w:fldChar w:fldCharType="begin"/>
      </w:r>
      <w:r>
        <w:instrText xml:space="preserve"> PAGEREF _Toc31963 \h </w:instrText>
      </w:r>
      <w:r>
        <w:fldChar w:fldCharType="separate"/>
      </w:r>
      <w:r>
        <w:t>15</w:t>
      </w:r>
      <w:r>
        <w:fldChar w:fldCharType="end"/>
      </w:r>
      <w:r>
        <w:rPr>
          <w:szCs w:val="28"/>
        </w:rPr>
        <w:fldChar w:fldCharType="end"/>
      </w:r>
    </w:p>
    <w:p>
      <w:pPr>
        <w:pStyle w:val="19"/>
        <w:tabs>
          <w:tab w:val="right" w:leader="dot" w:pos="9070"/>
          <w:tab w:val="clear" w:pos="180"/>
          <w:tab w:val="clear" w:pos="420"/>
          <w:tab w:val="clear" w:pos="9360"/>
        </w:tabs>
      </w:pPr>
      <w:r>
        <w:rPr>
          <w:szCs w:val="28"/>
        </w:rPr>
        <w:fldChar w:fldCharType="begin"/>
      </w:r>
      <w:r>
        <w:rPr>
          <w:szCs w:val="28"/>
        </w:rPr>
        <w:instrText xml:space="preserve"> HYPERLINK \l _Toc28476 </w:instrText>
      </w:r>
      <w:r>
        <w:rPr>
          <w:szCs w:val="28"/>
        </w:rPr>
        <w:fldChar w:fldCharType="separate"/>
      </w:r>
      <w:r>
        <w:rPr>
          <w:rFonts w:hint="eastAsia" w:ascii="微软雅黑" w:hAnsi="微软雅黑"/>
        </w:rPr>
        <w:t>8. 评价结论</w:t>
      </w:r>
      <w:r>
        <w:tab/>
      </w:r>
      <w:r>
        <w:fldChar w:fldCharType="begin"/>
      </w:r>
      <w:r>
        <w:instrText xml:space="preserve"> PAGEREF _Toc28476 \h </w:instrText>
      </w:r>
      <w:r>
        <w:fldChar w:fldCharType="separate"/>
      </w:r>
      <w:r>
        <w:t>16</w:t>
      </w:r>
      <w:r>
        <w:fldChar w:fldCharType="end"/>
      </w:r>
      <w:r>
        <w:rPr>
          <w:szCs w:val="28"/>
        </w:rPr>
        <w:fldChar w:fldCharType="end"/>
      </w:r>
    </w:p>
    <w:p>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0"/>
    </w:p>
    <w:p>
      <w:pPr>
        <w:pStyle w:val="2"/>
        <w:rPr>
          <w:rFonts w:ascii="微软雅黑" w:hAnsi="微软雅黑"/>
        </w:rPr>
      </w:pPr>
      <w:r>
        <w:rPr>
          <w:rFonts w:ascii="微软雅黑" w:hAnsi="微软雅黑"/>
          <w:szCs w:val="21"/>
        </w:rPr>
        <w:tab/>
      </w:r>
      <w:bookmarkStart w:id="11" w:name="_Toc20312513"/>
      <w:bookmarkStart w:id="12" w:name="_Toc13345"/>
      <w:bookmarkStart w:id="13" w:name="_Toc512608176"/>
      <w:r>
        <w:rPr>
          <w:rFonts w:hint="eastAsia" w:ascii="微软雅黑" w:hAnsi="微软雅黑"/>
        </w:rPr>
        <w:t>建筑概况</w:t>
      </w:r>
      <w:bookmarkEnd w:id="11"/>
      <w:bookmarkEnd w:id="12"/>
      <w:bookmarkEnd w:id="13"/>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lang w:val="en-US"/>
              </w:rPr>
              <w:t>项目所在地</w:t>
            </w:r>
          </w:p>
        </w:tc>
        <w:tc>
          <w:tcPr>
            <w:tcW w:w="6447" w:type="dxa"/>
            <w:gridSpan w:val="3"/>
          </w:tcPr>
          <w:p>
            <w:pPr>
              <w:ind w:firstLine="420"/>
              <w:rPr>
                <w:lang w:val="en-US"/>
              </w:rPr>
            </w:pPr>
            <w:bookmarkStart w:id="14" w:name="项目地点"/>
            <w:r>
              <w:t>孝感</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5" w:name="光气候分区"/>
            <w:r>
              <w:t>IV</w:t>
            </w:r>
            <w:bookmarkEnd w:id="15"/>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7" w:name="地上建筑面积"/>
            <w:r>
              <w:t>12204.36</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9" w:name="地上建筑层数"/>
            <w:r>
              <w:t>18</w:t>
            </w:r>
            <w:bookmarkEnd w:id="19"/>
            <w:r>
              <w:rPr>
                <w:rFonts w:hint="eastAsia"/>
                <w:lang w:val="en-US"/>
              </w:rPr>
              <w:t xml:space="preserve">          地下 </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1" w:name="地上建筑高度"/>
            <w:r>
              <w:t>57.00</w:t>
            </w:r>
            <w:bookmarkEnd w:id="21"/>
            <w:r>
              <w:rPr>
                <w:rFonts w:hint="eastAsia"/>
                <w:lang w:val="en-US"/>
              </w:rPr>
              <w:t xml:space="preserve"> m     地下  </w:t>
            </w:r>
            <w:bookmarkStart w:id="22" w:name="地下建筑高度"/>
            <w:r>
              <w:t>0.00</w:t>
            </w:r>
            <w:bookmarkEnd w:id="22"/>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3" w:name="备注"/>
            <w:bookmarkEnd w:id="23"/>
          </w:p>
        </w:tc>
      </w:tr>
    </w:tbl>
    <w:p>
      <w:pPr>
        <w:kinsoku w:val="0"/>
        <w:spacing w:line="400" w:lineRule="atLeast"/>
        <w:ind w:firstLine="420"/>
        <w:rPr>
          <w:szCs w:val="21"/>
          <w:lang w:val="en-US"/>
        </w:rPr>
      </w:pPr>
    </w:p>
    <w:p>
      <w:pPr>
        <w:kinsoku w:val="0"/>
        <w:spacing w:line="400" w:lineRule="atLeast"/>
        <w:ind w:firstLine="420"/>
        <w:rPr>
          <w:szCs w:val="21"/>
          <w:lang w:val="en-US"/>
        </w:rPr>
      </w:pPr>
    </w:p>
    <w:p>
      <w:pPr>
        <w:pStyle w:val="2"/>
        <w:rPr>
          <w:rFonts w:ascii="微软雅黑" w:hAnsi="微软雅黑"/>
        </w:rPr>
      </w:pPr>
      <w:bookmarkStart w:id="24" w:name="_Toc23050"/>
      <w:bookmarkStart w:id="25" w:name="_Toc20312514"/>
      <w:bookmarkStart w:id="26" w:name="_Toc512608178"/>
      <w:r>
        <w:rPr>
          <w:rFonts w:hint="eastAsia" w:ascii="微软雅黑" w:hAnsi="微软雅黑"/>
        </w:rPr>
        <w:t>计算</w:t>
      </w:r>
      <w:r>
        <w:rPr>
          <w:rFonts w:ascii="微软雅黑" w:hAnsi="微软雅黑"/>
        </w:rPr>
        <w:t>目的</w:t>
      </w:r>
      <w:bookmarkEnd w:id="24"/>
      <w:bookmarkEnd w:id="25"/>
      <w:bookmarkEnd w:id="26"/>
    </w:p>
    <w:p>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rPr>
          <w:rFonts w:ascii="微软雅黑" w:hAnsi="微软雅黑"/>
        </w:rPr>
      </w:pPr>
      <w:bookmarkStart w:id="27" w:name="_Toc512608177"/>
      <w:bookmarkStart w:id="28" w:name="_Toc11845"/>
      <w:bookmarkStart w:id="29" w:name="_Toc20312515"/>
      <w:r>
        <w:rPr>
          <w:rFonts w:hint="eastAsia" w:ascii="微软雅黑" w:hAnsi="微软雅黑"/>
        </w:rPr>
        <w:t>分析依据</w:t>
      </w:r>
      <w:bookmarkEnd w:id="27"/>
      <w:bookmarkEnd w:id="28"/>
      <w:bookmarkEnd w:id="29"/>
    </w:p>
    <w:p>
      <w:pPr>
        <w:pStyle w:val="4"/>
        <w:rPr>
          <w:rFonts w:ascii="微软雅黑" w:hAnsi="微软雅黑"/>
        </w:rPr>
      </w:pPr>
      <w:bookmarkStart w:id="30" w:name="_Toc18272"/>
      <w:bookmarkStart w:id="31" w:name="_Toc20312516"/>
      <w:r>
        <w:rPr>
          <w:rFonts w:hint="eastAsia" w:ascii="微软雅黑" w:hAnsi="微软雅黑"/>
        </w:rPr>
        <w:t>标准依据</w:t>
      </w:r>
      <w:bookmarkEnd w:id="30"/>
      <w:bookmarkEnd w:id="31"/>
    </w:p>
    <w:p>
      <w:pPr>
        <w:pStyle w:val="3"/>
        <w:numPr>
          <w:ilvl w:val="0"/>
          <w:numId w:val="2"/>
        </w:numPr>
        <w:rPr>
          <w:lang w:val="en-US"/>
        </w:rPr>
      </w:pPr>
      <w:bookmarkStart w:id="32"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kinsoku w:val="0"/>
        <w:spacing w:line="400" w:lineRule="atLeast"/>
        <w:ind w:left="1320"/>
        <w:jc w:val="both"/>
        <w:rPr>
          <w:szCs w:val="21"/>
          <w:lang w:val="en-US"/>
        </w:rPr>
      </w:pPr>
    </w:p>
    <w:p>
      <w:pPr>
        <w:pStyle w:val="4"/>
        <w:rPr>
          <w:rFonts w:ascii="微软雅黑" w:hAnsi="微软雅黑"/>
        </w:rPr>
      </w:pPr>
      <w:bookmarkStart w:id="33" w:name="_Toc17304"/>
      <w:bookmarkStart w:id="34" w:name="_Toc20312517"/>
      <w:r>
        <w:rPr>
          <w:rFonts w:hint="eastAsia" w:ascii="微软雅黑" w:hAnsi="微软雅黑"/>
        </w:rPr>
        <w:t>标准要求</w:t>
      </w:r>
      <w:bookmarkEnd w:id="32"/>
      <w:bookmarkEnd w:id="33"/>
      <w:bookmarkEnd w:id="34"/>
    </w:p>
    <w:p>
      <w:pPr>
        <w:kinsoku w:val="0"/>
        <w:spacing w:line="360" w:lineRule="auto"/>
        <w:ind w:firstLine="420"/>
        <w:jc w:val="left"/>
        <w:rPr>
          <w:b/>
          <w:sz w:val="21"/>
          <w:szCs w:val="21"/>
          <w:lang w:val="en-US"/>
        </w:rPr>
      </w:pPr>
      <w:r>
        <w:rPr>
          <w:rFonts w:hint="eastAsia"/>
          <w:sz w:val="21"/>
          <w:szCs w:val="21"/>
          <w:lang w:val="en-US"/>
        </w:rPr>
        <w:t xml:space="preserve">■ </w:t>
      </w:r>
      <w:r>
        <w:rPr>
          <w:rFonts w:hint="eastAsia"/>
          <w:b/>
          <w:sz w:val="21"/>
          <w:szCs w:val="21"/>
          <w:lang w:val="en-US"/>
        </w:rPr>
        <w:t>《绿色建筑评价标准》GB/T 50378-2019</w:t>
      </w:r>
      <w:r>
        <w:rPr>
          <w:b/>
          <w:sz w:val="21"/>
          <w:szCs w:val="21"/>
          <w:lang w:val="en-US"/>
        </w:rPr>
        <w:t xml:space="preserve">    </w:t>
      </w:r>
    </w:p>
    <w:p>
      <w:pPr>
        <w:kinsoku w:val="0"/>
        <w:spacing w:line="360" w:lineRule="auto"/>
        <w:ind w:firstLine="420"/>
        <w:jc w:val="left"/>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pPr>
        <w:ind w:firstLine="420"/>
        <w:jc w:val="left"/>
        <w:rPr>
          <w:sz w:val="21"/>
        </w:rPr>
      </w:pPr>
      <w:r>
        <w:rPr>
          <w:sz w:val="21"/>
        </w:rPr>
        <w:t>住宅建筑室内主要功能空间至少60%面积比例区域，其采光照度值不低于300lx的小时数平均不少于8h/d，得9分。</w:t>
      </w:r>
    </w:p>
    <w:p>
      <w:pPr>
        <w:pStyle w:val="40"/>
        <w:numPr>
          <w:ilvl w:val="0"/>
          <w:numId w:val="3"/>
        </w:numPr>
        <w:jc w:val="left"/>
        <w:rPr>
          <w:sz w:val="32"/>
          <w:lang w:val="en-US"/>
        </w:rPr>
      </w:pPr>
      <w:r>
        <w:rPr>
          <w:rFonts w:hint="eastAsia"/>
          <w:b/>
          <w:sz w:val="21"/>
          <w:szCs w:val="21"/>
          <w:lang w:val="en-US"/>
        </w:rPr>
        <w:t>《绿色建筑评价标准技术细则2019》相关内容</w:t>
      </w:r>
    </w:p>
    <w:p>
      <w:pPr>
        <w:ind w:firstLine="420"/>
        <w:jc w:val="left"/>
        <w:rPr>
          <w:sz w:val="21"/>
        </w:rPr>
      </w:pPr>
      <w:r>
        <w:rPr>
          <w:rFonts w:hint="eastAsia"/>
          <w:sz w:val="21"/>
        </w:rPr>
        <w:t>《绿色建筑评价标准技术细则2019》住宅建筑动态采光要求指出：</w:t>
      </w:r>
    </w:p>
    <w:p>
      <w:pPr>
        <w:ind w:left="360" w:leftChars="200"/>
        <w:jc w:val="left"/>
        <w:rPr>
          <w:sz w:val="21"/>
        </w:rPr>
      </w:pPr>
      <w:r>
        <w:rPr>
          <w:sz w:val="21"/>
        </w:rPr>
        <w:t>1.</w:t>
      </w:r>
      <w:r>
        <w:rPr>
          <w:rFonts w:hint="eastAsia"/>
          <w:sz w:val="21"/>
        </w:rPr>
        <w:t>住宅建筑主要功能房间包括卧室、起居室（厅）等。宿舍建筑也按住宅建筑执行；</w:t>
      </w:r>
    </w:p>
    <w:p>
      <w:pPr>
        <w:ind w:left="360" w:leftChars="200"/>
        <w:jc w:val="left"/>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pPr>
        <w:ind w:left="360" w:leftChars="200"/>
        <w:jc w:val="left"/>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pPr>
        <w:ind w:firstLine="420"/>
      </w:pPr>
    </w:p>
    <w:p>
      <w:pPr>
        <w:pStyle w:val="2"/>
        <w:rPr>
          <w:rFonts w:ascii="微软雅黑" w:hAnsi="微软雅黑"/>
        </w:rPr>
      </w:pPr>
      <w:bookmarkStart w:id="35" w:name="_Toc20312518"/>
      <w:bookmarkStart w:id="36" w:name="_Toc264043625"/>
      <w:bookmarkStart w:id="37" w:name="_Toc290209336"/>
      <w:bookmarkStart w:id="38" w:name="_Toc312399791"/>
      <w:bookmarkStart w:id="39" w:name="_Toc7560"/>
      <w:bookmarkStart w:id="40" w:name="_Toc512608180"/>
      <w:bookmarkStart w:id="41" w:name="_Toc264569232"/>
      <w:bookmarkStart w:id="42" w:name="_Toc290149054"/>
      <w:bookmarkStart w:id="43" w:name="_Toc290209312"/>
      <w:bookmarkStart w:id="44" w:name="_Toc275165382"/>
      <w:r>
        <w:rPr>
          <w:rFonts w:hint="eastAsia" w:ascii="微软雅黑" w:hAnsi="微软雅黑"/>
        </w:rPr>
        <w:t>采光分析</w:t>
      </w:r>
      <w:r>
        <w:rPr>
          <w:rFonts w:ascii="微软雅黑" w:hAnsi="微软雅黑"/>
        </w:rPr>
        <w:t>概述</w:t>
      </w:r>
      <w:bookmarkEnd w:id="35"/>
      <w:bookmarkEnd w:id="36"/>
      <w:bookmarkEnd w:id="37"/>
      <w:bookmarkEnd w:id="38"/>
      <w:bookmarkEnd w:id="39"/>
      <w:bookmarkEnd w:id="40"/>
      <w:bookmarkEnd w:id="41"/>
      <w:bookmarkEnd w:id="42"/>
      <w:bookmarkEnd w:id="43"/>
      <w:bookmarkEnd w:id="44"/>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rPr>
          <w:lang w:val="en-US"/>
        </w:rPr>
      </w:pPr>
      <w:r>
        <w:rPr>
          <w:rFonts w:hint="eastAsia"/>
        </w:rPr>
        <w:t>基于天然</w:t>
      </w:r>
      <w:r>
        <w:t>光</w:t>
      </w:r>
      <w:r>
        <w:rPr>
          <w:rFonts w:hint="eastAsia"/>
        </w:rPr>
        <w:t>气候数据的建筑</w:t>
      </w:r>
      <w:r>
        <w:t>采光</w:t>
      </w:r>
      <w:r>
        <w:rPr>
          <w:rFonts w:hint="eastAsia"/>
        </w:rPr>
        <w:t>全年</w:t>
      </w:r>
      <w:r>
        <w:t>动态分析</w:t>
      </w:r>
      <w:r>
        <w:rPr>
          <w:rFonts w:hint="eastAsia"/>
        </w:rPr>
        <w:t>，</w:t>
      </w:r>
      <w:r>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rPr>
          <w:rFonts w:ascii="微软雅黑" w:hAnsi="微软雅黑"/>
        </w:rPr>
      </w:pPr>
      <w:bookmarkStart w:id="45" w:name="_Toc534797343"/>
      <w:bookmarkStart w:id="46" w:name="_Toc512608181"/>
      <w:bookmarkStart w:id="47" w:name="_Toc29790"/>
      <w:r>
        <w:rPr>
          <w:rFonts w:hint="eastAsia" w:ascii="微软雅黑" w:hAnsi="微软雅黑"/>
        </w:rPr>
        <w:t>基本原理</w:t>
      </w:r>
      <w:bookmarkEnd w:id="45"/>
      <w:bookmarkEnd w:id="46"/>
      <w:bookmarkEnd w:id="47"/>
    </w:p>
    <w:p>
      <w:pPr>
        <w:pStyle w:val="14"/>
        <w:numPr>
          <w:ilvl w:val="0"/>
          <w:numId w:val="4"/>
        </w:numPr>
        <w:spacing w:line="360" w:lineRule="auto"/>
        <w:rPr>
          <w:rFonts w:ascii="微软雅黑" w:hAnsi="微软雅黑"/>
          <w:b/>
          <w:sz w:val="21"/>
          <w:szCs w:val="21"/>
        </w:rPr>
      </w:pPr>
      <w:r>
        <w:rPr>
          <w:rFonts w:hint="eastAsia" w:ascii="微软雅黑" w:hAnsi="微软雅黑"/>
          <w:b/>
          <w:sz w:val="21"/>
          <w:szCs w:val="21"/>
        </w:rPr>
        <w:t>动态采光</w:t>
      </w:r>
    </w:p>
    <w:p>
      <w:pPr>
        <w:pStyle w:val="3"/>
        <w:ind w:firstLine="420" w:firstLineChars="200"/>
      </w:pPr>
      <w:bookmarkStart w:id="48" w:name="_Toc534797344"/>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290209341"/>
      <w:bookmarkStart w:id="50" w:name="_Toc264043630"/>
      <w:bookmarkStart w:id="51" w:name="_Toc275165387"/>
      <w:bookmarkStart w:id="52" w:name="_Toc290209317"/>
      <w:bookmarkStart w:id="53" w:name="_Toc312399796"/>
      <w:bookmarkStart w:id="54" w:name="_Toc264569237"/>
      <w:bookmarkStart w:id="55" w:name="_Toc290149059"/>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9"/>
    <w:bookmarkEnd w:id="50"/>
    <w:bookmarkEnd w:id="51"/>
    <w:bookmarkEnd w:id="52"/>
    <w:bookmarkEnd w:id="53"/>
    <w:bookmarkEnd w:id="54"/>
    <w:bookmarkEnd w:id="55"/>
    <w:p>
      <w:pPr>
        <w:pStyle w:val="4"/>
        <w:rPr>
          <w:rFonts w:ascii="微软雅黑" w:hAnsi="微软雅黑"/>
        </w:rPr>
      </w:pPr>
      <w:bookmarkStart w:id="56" w:name="_Toc4255"/>
      <w:r>
        <w:rPr>
          <w:rFonts w:hint="eastAsia" w:ascii="微软雅黑" w:hAnsi="微软雅黑"/>
        </w:rPr>
        <w:t>计算方法</w:t>
      </w:r>
      <w:bookmarkEnd w:id="48"/>
      <w:bookmarkEnd w:id="56"/>
    </w:p>
    <w:p>
      <w:pPr>
        <w:pStyle w:val="3"/>
        <w:ind w:firstLine="420" w:firstLineChars="200"/>
      </w:pPr>
      <w:bookmarkStart w:id="57" w:name="_Toc534797345"/>
      <w:r>
        <w:t>《绿色建筑评价标准》GB/T 50378-2019</w:t>
      </w:r>
      <w:r>
        <w:rPr>
          <w:rFonts w:hint="eastAsia"/>
        </w:rPr>
        <w:t>中5.2.8条动态采光的要求进行解读可知，只有同时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p>
    <w:p>
      <w:pPr>
        <w:pStyle w:val="3"/>
        <w:ind w:firstLine="420" w:firstLineChars="200"/>
      </w:pP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居住建筑主要功能房间采用全年中建筑空间各位置</w:t>
      </w:r>
      <w:r>
        <w:rPr>
          <w:rFonts w:hint="eastAsia"/>
          <w:b/>
        </w:rPr>
        <w:t>满足采光照度的时长</w:t>
      </w:r>
      <w:r>
        <w:rPr>
          <w:rFonts w:hint="eastAsia"/>
        </w:rPr>
        <w:t>进行采光效果评价；采光照度要求值为</w:t>
      </w:r>
      <w:r>
        <w:rPr>
          <w:rFonts w:hint="eastAsia"/>
          <w:b/>
        </w:rPr>
        <w:t>平均值</w:t>
      </w:r>
      <w:r>
        <w:rPr>
          <w:rFonts w:hint="eastAsia"/>
        </w:rPr>
        <w:t>，即照度平均值需超过300lx。</w:t>
      </w:r>
    </w:p>
    <w:p>
      <w:pPr>
        <w:pStyle w:val="3"/>
        <w:ind w:firstLine="420" w:firstLineChars="200"/>
      </w:pPr>
      <w:r>
        <w:rPr>
          <w:rFonts w:hint="eastAsia"/>
        </w:rPr>
        <w:t>综上所述，动态采光的计算和统计</w:t>
      </w:r>
      <w:r>
        <w:rPr>
          <w:rFonts w:hint="eastAsia"/>
          <w:b/>
        </w:rPr>
        <w:t>基于</w:t>
      </w:r>
      <w:r>
        <w:rPr>
          <w:b/>
        </w:rPr>
        <w:t>平</w:t>
      </w:r>
      <w:r>
        <w:rPr>
          <w:rFonts w:hint="eastAsia"/>
          <w:b/>
        </w:rPr>
        <w:t>均照度</w:t>
      </w:r>
      <w:r>
        <w:rPr>
          <w:rFonts w:hint="eastAsia"/>
        </w:rPr>
        <w:t>进行</w:t>
      </w:r>
      <w:r>
        <w:rPr>
          <w:rFonts w:hint="eastAsia"/>
          <w:b/>
        </w:rPr>
        <w:t>逐时分析统计</w:t>
      </w:r>
      <w:r>
        <w:rPr>
          <w:rFonts w:hint="eastAsia"/>
        </w:rPr>
        <w:t>，</w:t>
      </w:r>
      <w:r>
        <w:t>方法如下：</w:t>
      </w:r>
    </w:p>
    <w:p>
      <w:pPr>
        <w:pStyle w:val="3"/>
        <w:ind w:left="360" w:leftChars="200"/>
      </w:pPr>
      <w:r>
        <w:rPr>
          <w:rFonts w:hint="eastAsia"/>
        </w:rPr>
        <w:t>1.</w:t>
      </w:r>
      <w:r>
        <w:t xml:space="preserve"> </w:t>
      </w:r>
      <w:r>
        <w:rPr>
          <w:rFonts w:hint="eastAsia"/>
        </w:rPr>
        <w:t>房间每个计算点</w:t>
      </w:r>
      <w:r>
        <w:t>进行全年逐</w:t>
      </w:r>
      <w:r>
        <w:rPr>
          <w:rFonts w:hint="eastAsia"/>
        </w:rPr>
        <w:t>时</w:t>
      </w:r>
      <w:r>
        <w:t>照度计算</w:t>
      </w:r>
      <w:r>
        <w:rPr>
          <w:rFonts w:hint="eastAsia"/>
        </w:rPr>
        <w:t>；</w:t>
      </w:r>
    </w:p>
    <w:p>
      <w:pPr>
        <w:pStyle w:val="3"/>
        <w:ind w:left="360" w:leftChars="200"/>
      </w:pPr>
      <w:r>
        <w:rPr>
          <w:rFonts w:hint="eastAsia"/>
        </w:rPr>
        <w:t>2.</w:t>
      </w:r>
      <w:r>
        <w:t xml:space="preserve"> </w:t>
      </w:r>
      <w:r>
        <w:rPr>
          <w:rFonts w:hint="eastAsia"/>
        </w:rPr>
        <w:t>针对</w:t>
      </w:r>
      <w:r>
        <w:t>某</w:t>
      </w:r>
      <w:r>
        <w:rPr>
          <w:rFonts w:hint="eastAsia"/>
        </w:rPr>
        <w:t>计算</w:t>
      </w:r>
      <w:r>
        <w:t>时刻</w:t>
      </w:r>
      <w:r>
        <w:rPr>
          <w:rFonts w:hint="eastAsia"/>
        </w:rPr>
        <w:t>，将房间内各计算点的采光照度值按降序排列，取前若干占面积区域比例6</w:t>
      </w:r>
      <w:r>
        <w:t>0%</w:t>
      </w:r>
      <w:r>
        <w:rPr>
          <w:rFonts w:hint="eastAsia"/>
        </w:rPr>
        <w:t>的采光照度计算点求得</w:t>
      </w:r>
      <w:r>
        <w:t>平均照度值</w:t>
      </w:r>
      <w:r>
        <w:rPr>
          <w:rFonts w:hint="eastAsia"/>
        </w:rPr>
        <w:t>，若平均照度值超过</w:t>
      </w:r>
      <w:r>
        <w:t>300</w:t>
      </w:r>
      <w:r>
        <w:rPr>
          <w:rFonts w:hint="eastAsia"/>
        </w:rPr>
        <w:t>lx则</w:t>
      </w:r>
      <w:r>
        <w:t>判定</w:t>
      </w:r>
      <w:r>
        <w:rPr>
          <w:rFonts w:hint="eastAsia"/>
        </w:rPr>
        <w:t>此</w:t>
      </w:r>
      <w:r>
        <w:t>时刻</w:t>
      </w:r>
      <w:r>
        <w:rPr>
          <w:rFonts w:hint="eastAsia"/>
        </w:rPr>
        <w:t>合格</w:t>
      </w:r>
      <w:r>
        <w:t>，否则视为不合格；</w:t>
      </w:r>
    </w:p>
    <w:p>
      <w:pPr>
        <w:pStyle w:val="3"/>
        <w:ind w:left="360" w:leftChars="200"/>
        <w:rPr>
          <w:kern w:val="2"/>
          <w:lang w:val="en-US"/>
        </w:rPr>
      </w:pPr>
      <w:r>
        <w:rPr>
          <w:rFonts w:hint="eastAsia"/>
          <w:kern w:val="2"/>
          <w:lang w:val="en-US"/>
        </w:rPr>
        <w:t>3.</w:t>
      </w:r>
      <w:r>
        <w:rPr>
          <w:kern w:val="2"/>
          <w:lang w:val="en-US"/>
        </w:rPr>
        <w:t xml:space="preserve"> </w:t>
      </w:r>
      <w:r>
        <w:rPr>
          <w:rFonts w:hint="eastAsia"/>
          <w:kern w:val="2"/>
          <w:lang w:val="en-US"/>
        </w:rPr>
        <w:t>统计全年8</w:t>
      </w:r>
      <w:r>
        <w:rPr>
          <w:kern w:val="2"/>
          <w:lang w:val="en-US"/>
        </w:rPr>
        <w:t>760</w:t>
      </w:r>
      <w:r>
        <w:rPr>
          <w:rFonts w:hint="eastAsia"/>
          <w:kern w:val="2"/>
          <w:lang w:val="en-US"/>
        </w:rPr>
        <w:t>小时满足要求合格的时刻数，换算</w:t>
      </w:r>
      <w:r>
        <w:rPr>
          <w:kern w:val="2"/>
          <w:lang w:val="en-US"/>
        </w:rPr>
        <w:t>为日</w:t>
      </w:r>
      <w:r>
        <w:rPr>
          <w:rFonts w:hint="eastAsia"/>
          <w:kern w:val="2"/>
          <w:lang w:val="en-US"/>
        </w:rPr>
        <w:t>平</w:t>
      </w:r>
      <w:r>
        <w:rPr>
          <w:kern w:val="2"/>
          <w:lang w:val="en-US"/>
        </w:rPr>
        <w:t>均</w:t>
      </w:r>
      <w:r>
        <w:rPr>
          <w:rFonts w:hint="eastAsia"/>
          <w:kern w:val="2"/>
          <w:lang w:val="en-US"/>
        </w:rPr>
        <w:t>小时数（h</w:t>
      </w:r>
      <w:r>
        <w:rPr>
          <w:kern w:val="2"/>
          <w:lang w:val="en-US"/>
        </w:rPr>
        <w:t>/d</w:t>
      </w:r>
      <w:r>
        <w:rPr>
          <w:rFonts w:hint="eastAsia"/>
          <w:kern w:val="2"/>
          <w:lang w:val="en-US"/>
        </w:rPr>
        <w:t>）</w:t>
      </w:r>
      <w:r>
        <w:rPr>
          <w:kern w:val="2"/>
          <w:lang w:val="en-US"/>
        </w:rPr>
        <w:t>，判断</w:t>
      </w:r>
      <w:r>
        <w:rPr>
          <w:rFonts w:hint="eastAsia"/>
          <w:kern w:val="2"/>
          <w:lang w:val="en-US"/>
        </w:rPr>
        <w:t>该房间</w:t>
      </w:r>
      <w:r>
        <w:rPr>
          <w:kern w:val="2"/>
          <w:lang w:val="en-US"/>
        </w:rPr>
        <w:t>是否满足</w:t>
      </w:r>
      <w:r>
        <w:rPr>
          <w:rFonts w:hint="eastAsia"/>
          <w:kern w:val="2"/>
          <w:lang w:val="en-US"/>
        </w:rPr>
        <w:t>动态采光</w:t>
      </w:r>
      <w:r>
        <w:rPr>
          <w:kern w:val="2"/>
          <w:lang w:val="en-US"/>
        </w:rPr>
        <w:t>标准</w:t>
      </w:r>
      <w:r>
        <w:rPr>
          <w:rFonts w:hint="eastAsia"/>
          <w:kern w:val="2"/>
          <w:lang w:val="en-US"/>
        </w:rPr>
        <w:t>要求时长。</w:t>
      </w:r>
    </w:p>
    <w:p>
      <w:pPr>
        <w:pStyle w:val="4"/>
        <w:rPr>
          <w:rFonts w:ascii="微软雅黑" w:hAnsi="微软雅黑"/>
        </w:rPr>
      </w:pPr>
      <w:bookmarkStart w:id="58" w:name="_Toc11648"/>
      <w:r>
        <w:rPr>
          <w:rFonts w:ascii="微软雅黑" w:hAnsi="微软雅黑"/>
        </w:rPr>
        <w:t>软件</w:t>
      </w:r>
      <w:r>
        <w:rPr>
          <w:rFonts w:hint="eastAsia" w:ascii="微软雅黑" w:hAnsi="微软雅黑"/>
        </w:rPr>
        <w:t>选用</w:t>
      </w:r>
      <w:bookmarkEnd w:id="57"/>
      <w:bookmarkEnd w:id="58"/>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rPr>
          <w:rFonts w:ascii="微软雅黑" w:hAnsi="微软雅黑"/>
        </w:rPr>
      </w:pPr>
      <w:bookmarkStart w:id="59" w:name="_Toc17954"/>
      <w:r>
        <w:rPr>
          <w:rFonts w:hint="eastAsia" w:ascii="微软雅黑" w:hAnsi="微软雅黑"/>
        </w:rPr>
        <w:t>计算参数选用</w:t>
      </w:r>
      <w:bookmarkEnd w:id="59"/>
    </w:p>
    <w:p>
      <w:pPr>
        <w:pStyle w:val="4"/>
        <w:rPr>
          <w:rFonts w:ascii="微软雅黑" w:hAnsi="微软雅黑"/>
        </w:rPr>
      </w:pPr>
      <w:bookmarkStart w:id="60" w:name="_Toc8667"/>
      <w:r>
        <w:rPr>
          <w:rFonts w:hint="eastAsia" w:ascii="微软雅黑" w:hAnsi="微软雅黑"/>
        </w:rPr>
        <w:t>模拟条件</w:t>
      </w:r>
      <w:bookmarkEnd w:id="60"/>
    </w:p>
    <w:p>
      <w:pPr>
        <w:pStyle w:val="3"/>
        <w:ind w:left="360" w:leftChars="200"/>
        <w:rPr>
          <w:b/>
          <w:lang w:val="en-US"/>
        </w:rPr>
      </w:pPr>
      <w:r>
        <w:rPr>
          <w:rFonts w:hint="eastAsia"/>
          <w:b/>
          <w:lang w:val="en-US"/>
        </w:rPr>
        <w:t>气象数据来源：</w:t>
      </w:r>
      <w:bookmarkStart w:id="61" w:name="气象数据"/>
      <w:r>
        <w:rPr>
          <w:rFonts w:hint="eastAsia"/>
          <w:lang w:val="en-US"/>
        </w:rPr>
        <w:t>《中国建筑热环境分析专用气象数据集》</w:t>
      </w:r>
      <w:bookmarkEnd w:id="61"/>
    </w:p>
    <w:p>
      <w:pPr>
        <w:pStyle w:val="3"/>
        <w:ind w:left="36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pPr>
        <w:pStyle w:val="3"/>
        <w:ind w:left="36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4" w:name="网格划分小房间面积"/>
            <w:r>
              <w:rPr>
                <w:rFonts w:hint="eastAsia"/>
              </w:rPr>
              <w:t>10</w:t>
            </w:r>
            <w:bookmarkEnd w:id="64"/>
          </w:p>
        </w:tc>
        <w:tc>
          <w:tcPr>
            <w:tcW w:w="3272" w:type="dxa"/>
            <w:shd w:val="clear" w:color="auto" w:fill="auto"/>
            <w:vAlign w:val="center"/>
          </w:tcPr>
          <w:p>
            <w:bookmarkStart w:id="65" w:name="小房间网格大小"/>
            <w:r>
              <w:rPr>
                <w:rFonts w:hint="eastAsia"/>
              </w:rPr>
              <w:t>0.25</w:t>
            </w:r>
            <w:bookmarkEnd w:id="6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6" w:name="网格划分房间面积"/>
            <w:r>
              <w:rPr>
                <w:rFonts w:hint="eastAsia"/>
              </w:rPr>
              <w:t>10~100</w:t>
            </w:r>
            <w:bookmarkEnd w:id="66"/>
          </w:p>
        </w:tc>
        <w:tc>
          <w:tcPr>
            <w:tcW w:w="3272" w:type="dxa"/>
            <w:shd w:val="clear" w:color="auto" w:fill="auto"/>
            <w:vAlign w:val="center"/>
          </w:tcPr>
          <w:p>
            <w:bookmarkStart w:id="67" w:name="网格大小"/>
            <w:r>
              <w:rPr>
                <w:rFonts w:hint="eastAsia"/>
              </w:rPr>
              <w:t>0.50</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8" w:name="网格划分大房间面积"/>
            <w:r>
              <w:rPr>
                <w:rFonts w:hint="eastAsia"/>
              </w:rPr>
              <w:t>100</w:t>
            </w:r>
            <w:bookmarkEnd w:id="68"/>
          </w:p>
        </w:tc>
        <w:tc>
          <w:tcPr>
            <w:tcW w:w="3272" w:type="dxa"/>
            <w:shd w:val="clear" w:color="auto" w:fill="auto"/>
            <w:vAlign w:val="center"/>
          </w:tcPr>
          <w:p>
            <w:bookmarkStart w:id="69" w:name="大房间网格大小"/>
            <w:r>
              <w:rPr>
                <w:rFonts w:hint="eastAsia"/>
              </w:rPr>
              <w:t>1.00</w:t>
            </w:r>
            <w:bookmarkEnd w:id="69"/>
          </w:p>
        </w:tc>
      </w:tr>
    </w:tbl>
    <w:p>
      <w:pPr>
        <w:pStyle w:val="3"/>
        <w:ind w:left="360" w:leftChars="200"/>
      </w:pPr>
      <w:r>
        <w:rPr>
          <w:rFonts w:hint="eastAsia"/>
          <w:b/>
        </w:rPr>
        <w:t>周边环境：</w:t>
      </w:r>
      <w:r>
        <w:rPr>
          <w:rFonts w:hint="eastAsia"/>
        </w:rPr>
        <w:t>考虑分析区内的建筑物之间遮挡；</w:t>
      </w:r>
    </w:p>
    <w:p>
      <w:pPr>
        <w:pStyle w:val="4"/>
        <w:rPr>
          <w:rFonts w:ascii="微软雅黑" w:hAnsi="微软雅黑"/>
        </w:rPr>
      </w:pPr>
      <w:bookmarkStart w:id="70" w:name="_Toc903"/>
      <w:r>
        <w:rPr>
          <w:rFonts w:hint="eastAsia" w:ascii="微软雅黑" w:hAnsi="微软雅黑"/>
        </w:rPr>
        <w:t>建筑饰面材料参数</w:t>
      </w:r>
      <w:bookmarkEnd w:id="70"/>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112" w:type="dxa"/>
            <w:tcBorders>
              <w:top w:val="single" w:color="auto" w:sz="12" w:space="0"/>
              <w:bottom w:val="single" w:color="auto" w:sz="4" w:space="0"/>
            </w:tcBorders>
            <w:shd w:val="clear" w:color="auto" w:fill="E6E6E6"/>
            <w:vAlign w:val="center"/>
          </w:tcPr>
          <w:p>
            <w:r>
              <w:rPr>
                <w:rFonts w:hint="eastAsia"/>
              </w:rPr>
              <w:t>位置</w:t>
            </w:r>
          </w:p>
        </w:tc>
        <w:tc>
          <w:tcPr>
            <w:tcW w:w="1732" w:type="dxa"/>
            <w:tcBorders>
              <w:top w:val="single" w:color="auto" w:sz="12" w:space="0"/>
              <w:bottom w:val="single" w:color="auto" w:sz="4" w:space="0"/>
            </w:tcBorders>
            <w:shd w:val="clear" w:color="auto" w:fill="E6E6E6"/>
            <w:vAlign w:val="center"/>
          </w:tcPr>
          <w:p>
            <w:r>
              <w:rPr>
                <w:rFonts w:hint="eastAsia"/>
              </w:rPr>
              <w:t>顶棚</w:t>
            </w:r>
          </w:p>
        </w:tc>
        <w:tc>
          <w:tcPr>
            <w:tcW w:w="1732" w:type="dxa"/>
            <w:tcBorders>
              <w:top w:val="single" w:color="auto" w:sz="12" w:space="0"/>
              <w:bottom w:val="single" w:color="auto" w:sz="4" w:space="0"/>
            </w:tcBorders>
            <w:shd w:val="clear" w:color="auto" w:fill="E6E6E6"/>
          </w:tcPr>
          <w:p>
            <w:r>
              <w:rPr>
                <w:rFonts w:hint="eastAsia"/>
              </w:rPr>
              <w:t>地面</w:t>
            </w:r>
          </w:p>
        </w:tc>
        <w:tc>
          <w:tcPr>
            <w:tcW w:w="1732" w:type="dxa"/>
            <w:tcBorders>
              <w:top w:val="single" w:color="auto" w:sz="12" w:space="0"/>
              <w:bottom w:val="single" w:color="auto" w:sz="4" w:space="0"/>
            </w:tcBorders>
            <w:shd w:val="clear" w:color="auto" w:fill="E6E6E6"/>
          </w:tcPr>
          <w:p>
            <w:r>
              <w:rPr>
                <w:rFonts w:hint="eastAsia"/>
              </w:rPr>
              <w:t>墙面</w:t>
            </w:r>
          </w:p>
        </w:tc>
        <w:tc>
          <w:tcPr>
            <w:tcW w:w="173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r>
              <w:rPr>
                <w:rFonts w:hint="eastAsia"/>
              </w:rPr>
              <w:t>反射比材料设计取值</w:t>
            </w:r>
          </w:p>
        </w:tc>
        <w:tc>
          <w:tcPr>
            <w:tcW w:w="1732" w:type="dxa"/>
            <w:tcBorders>
              <w:top w:val="single" w:color="auto" w:sz="4" w:space="0"/>
            </w:tcBorders>
            <w:shd w:val="clear" w:color="auto" w:fill="auto"/>
            <w:vAlign w:val="center"/>
          </w:tcPr>
          <w:p>
            <w:bookmarkStart w:id="71" w:name="顶棚反射比"/>
            <w:r>
              <w:rPr>
                <w:rFonts w:hint="eastAsia"/>
              </w:rPr>
              <w:t>0.75</w:t>
            </w:r>
            <w:bookmarkEnd w:id="71"/>
          </w:p>
        </w:tc>
        <w:tc>
          <w:tcPr>
            <w:tcW w:w="1732" w:type="dxa"/>
            <w:tcBorders>
              <w:top w:val="single" w:color="auto" w:sz="4" w:space="0"/>
            </w:tcBorders>
            <w:vAlign w:val="center"/>
          </w:tcPr>
          <w:p>
            <w:bookmarkStart w:id="72" w:name="地面反射比"/>
            <w:r>
              <w:rPr>
                <w:rFonts w:hint="eastAsia"/>
              </w:rPr>
              <w:t>0.40</w:t>
            </w:r>
            <w:bookmarkEnd w:id="72"/>
          </w:p>
        </w:tc>
        <w:tc>
          <w:tcPr>
            <w:tcW w:w="1732" w:type="dxa"/>
            <w:tcBorders>
              <w:top w:val="single" w:color="auto" w:sz="4" w:space="0"/>
            </w:tcBorders>
            <w:vAlign w:val="center"/>
          </w:tcPr>
          <w:p>
            <w:bookmarkStart w:id="73" w:name="墙面反射比"/>
            <w:r>
              <w:rPr>
                <w:rFonts w:hint="eastAsia"/>
              </w:rPr>
              <w:t>0.84</w:t>
            </w:r>
            <w:bookmarkEnd w:id="73"/>
          </w:p>
        </w:tc>
        <w:tc>
          <w:tcPr>
            <w:tcW w:w="1732" w:type="dxa"/>
            <w:tcBorders>
              <w:top w:val="single" w:color="auto" w:sz="4" w:space="0"/>
            </w:tcBorders>
            <w:vAlign w:val="center"/>
          </w:tcPr>
          <w:p>
            <w:bookmarkStart w:id="74" w:name="外表面反射比"/>
            <w:r>
              <w:rPr>
                <w:rFonts w:hint="eastAsia"/>
              </w:rPr>
              <w:t>0.84</w:t>
            </w:r>
            <w:bookmarkEnd w:id="74"/>
          </w:p>
        </w:tc>
      </w:tr>
    </w:tbl>
    <w:p>
      <w:pPr>
        <w:pStyle w:val="14"/>
        <w:spacing w:line="360" w:lineRule="auto"/>
        <w:rPr>
          <w:rFonts w:ascii="微软雅黑" w:hAnsi="微软雅黑"/>
          <w:sz w:val="18"/>
          <w:szCs w:val="18"/>
        </w:rPr>
      </w:pPr>
      <w:r>
        <w:rPr>
          <w:rFonts w:ascii="微软雅黑" w:hAnsi="微软雅黑"/>
          <w:szCs w:val="21"/>
        </w:rPr>
        <w:tab/>
      </w:r>
    </w:p>
    <w:p>
      <w:pPr>
        <w:pStyle w:val="4"/>
        <w:rPr>
          <w:rFonts w:ascii="微软雅黑" w:hAnsi="微软雅黑"/>
        </w:rPr>
      </w:pPr>
      <w:bookmarkStart w:id="75" w:name="_Toc3821"/>
      <w:r>
        <w:rPr>
          <w:rFonts w:hint="eastAsia" w:ascii="微软雅黑" w:hAnsi="微软雅黑"/>
        </w:rPr>
        <w:t>门窗类型参数</w:t>
      </w:r>
      <w:bookmarkEnd w:id="75"/>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5"/>
      </w:pPr>
      <w:bookmarkStart w:id="76" w:name="_Toc28329"/>
      <w:bookmarkStart w:id="77" w:name="门"/>
      <w:r>
        <w:rPr>
          <w:rFonts w:hint="eastAsia"/>
        </w:rPr>
        <w:t>透光门</w:t>
      </w:r>
      <w:bookmarkEnd w:id="76"/>
    </w:p>
    <w:bookmarkEnd w:id="77"/>
    <w:tbl>
      <w:tblPr>
        <w:tblStyle w:val="23"/>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03"/>
        <w:gridCol w:w="1103"/>
        <w:gridCol w:w="1103"/>
        <w:gridCol w:w="1075"/>
        <w:gridCol w:w="1075"/>
        <w:gridCol w:w="1075"/>
        <w:gridCol w:w="1488"/>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挡光系数</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1100</w:t>
            </w:r>
          </w:p>
        </w:tc>
        <w:tc>
          <w:tcPr>
            <w:vAlign w:val="center"/>
          </w:tcPr>
          <w:p>
            <w:r>
              <w:t>2100</w:t>
            </w:r>
          </w:p>
        </w:tc>
        <w:tc>
          <w:tcPr>
            <w:vAlign w:val="center"/>
          </w:tcPr>
          <w:p>
            <w:r>
              <w:t>0.20</w:t>
            </w:r>
          </w:p>
        </w:tc>
        <w:tc>
          <w:tcPr>
            <w:vAlign w:val="center"/>
          </w:tcPr>
          <w:p>
            <w:r>
              <w:t>单层铝窗</w:t>
            </w:r>
          </w:p>
        </w:tc>
        <w:tc>
          <w:tcPr>
            <w:vAlign w:val="center"/>
          </w:tcPr>
          <w:p>
            <w:r>
              <w:t>夹层玻璃</w:t>
            </w:r>
          </w:p>
        </w:tc>
        <w:tc>
          <w:tcPr>
            <w:vAlign w:val="center"/>
          </w:tcPr>
          <w:p>
            <w:r>
              <w:t>0.89</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M0721</w:t>
            </w:r>
          </w:p>
        </w:tc>
        <w:tc>
          <w:tcPr>
            <w:vAlign w:val="center"/>
          </w:tcPr>
          <w:p>
            <w:r>
              <w:t>700</w:t>
            </w:r>
          </w:p>
        </w:tc>
        <w:tc>
          <w:tcPr>
            <w:vAlign w:val="center"/>
          </w:tcPr>
          <w:p>
            <w:r>
              <w:t>2100</w:t>
            </w:r>
          </w:p>
        </w:tc>
        <w:tc>
          <w:tcPr>
            <w:vAlign w:val="center"/>
          </w:tcPr>
          <w:p>
            <w:r>
              <w:t>0.20</w:t>
            </w:r>
          </w:p>
        </w:tc>
        <w:tc>
          <w:tcPr>
            <w:vAlign w:val="center"/>
          </w:tcPr>
          <w:p>
            <w:r>
              <w:t>单层铝窗</w:t>
            </w:r>
          </w:p>
        </w:tc>
        <w:tc>
          <w:tcPr>
            <w:vAlign w:val="center"/>
          </w:tcPr>
          <w:p>
            <w:r>
              <w:t>夹层玻璃</w:t>
            </w:r>
          </w:p>
        </w:tc>
        <w:tc>
          <w:tcPr>
            <w:vAlign w:val="center"/>
          </w:tcPr>
          <w:p>
            <w:r>
              <w:t>0.89</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M0821</w:t>
            </w:r>
          </w:p>
        </w:tc>
        <w:tc>
          <w:tcPr>
            <w:vAlign w:val="center"/>
          </w:tcPr>
          <w:p>
            <w:r>
              <w:t>800</w:t>
            </w:r>
          </w:p>
        </w:tc>
        <w:tc>
          <w:tcPr>
            <w:vAlign w:val="center"/>
          </w:tcPr>
          <w:p>
            <w:r>
              <w:t>2100</w:t>
            </w:r>
          </w:p>
        </w:tc>
        <w:tc>
          <w:tcPr>
            <w:vAlign w:val="center"/>
          </w:tcPr>
          <w:p>
            <w:r>
              <w:t>0.20</w:t>
            </w:r>
          </w:p>
        </w:tc>
        <w:tc>
          <w:tcPr>
            <w:vAlign w:val="center"/>
          </w:tcPr>
          <w:p>
            <w:r>
              <w:t>单层铝窗</w:t>
            </w:r>
          </w:p>
        </w:tc>
        <w:tc>
          <w:tcPr>
            <w:vAlign w:val="center"/>
          </w:tcPr>
          <w:p>
            <w:r>
              <w:t>夹层玻璃</w:t>
            </w:r>
          </w:p>
        </w:tc>
        <w:tc>
          <w:tcPr>
            <w:vAlign w:val="center"/>
          </w:tcPr>
          <w:p>
            <w:r>
              <w:t>0.89</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M0921</w:t>
            </w:r>
          </w:p>
        </w:tc>
        <w:tc>
          <w:tcPr>
            <w:vAlign w:val="center"/>
          </w:tcPr>
          <w:p>
            <w:r>
              <w:t>900</w:t>
            </w:r>
          </w:p>
        </w:tc>
        <w:tc>
          <w:tcPr>
            <w:vAlign w:val="center"/>
          </w:tcPr>
          <w:p>
            <w:r>
              <w:t>2100</w:t>
            </w:r>
          </w:p>
        </w:tc>
        <w:tc>
          <w:tcPr>
            <w:vAlign w:val="center"/>
          </w:tcPr>
          <w:p>
            <w:r>
              <w:t>0.20</w:t>
            </w:r>
          </w:p>
        </w:tc>
        <w:tc>
          <w:tcPr>
            <w:vAlign w:val="center"/>
          </w:tcPr>
          <w:p>
            <w:r>
              <w:t>单层铝窗</w:t>
            </w:r>
          </w:p>
        </w:tc>
        <w:tc>
          <w:tcPr>
            <w:vAlign w:val="center"/>
          </w:tcPr>
          <w:p>
            <w:r>
              <w:t>夹层玻璃</w:t>
            </w:r>
          </w:p>
        </w:tc>
        <w:tc>
          <w:tcPr>
            <w:vAlign w:val="center"/>
          </w:tcPr>
          <w:p>
            <w:r>
              <w:t>0.89</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M1021</w:t>
            </w:r>
          </w:p>
        </w:tc>
        <w:tc>
          <w:tcPr>
            <w:vAlign w:val="center"/>
          </w:tcPr>
          <w:p>
            <w:r>
              <w:t>1000</w:t>
            </w:r>
          </w:p>
        </w:tc>
        <w:tc>
          <w:tcPr>
            <w:vAlign w:val="center"/>
          </w:tcPr>
          <w:p>
            <w:r>
              <w:t>2100</w:t>
            </w:r>
          </w:p>
        </w:tc>
        <w:tc>
          <w:tcPr>
            <w:vAlign w:val="center"/>
          </w:tcPr>
          <w:p>
            <w:r>
              <w:t>0.20</w:t>
            </w:r>
          </w:p>
        </w:tc>
        <w:tc>
          <w:tcPr>
            <w:vAlign w:val="center"/>
          </w:tcPr>
          <w:p>
            <w:r>
              <w:t>单层铝窗</w:t>
            </w:r>
          </w:p>
        </w:tc>
        <w:tc>
          <w:tcPr>
            <w:vAlign w:val="center"/>
          </w:tcPr>
          <w:p>
            <w:r>
              <w:t>夹层玻璃</w:t>
            </w:r>
          </w:p>
        </w:tc>
        <w:tc>
          <w:tcPr>
            <w:vAlign w:val="center"/>
          </w:tcPr>
          <w:p>
            <w:r>
              <w:t>0.89</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M1121</w:t>
            </w:r>
          </w:p>
        </w:tc>
        <w:tc>
          <w:tcPr>
            <w:vAlign w:val="center"/>
          </w:tcPr>
          <w:p>
            <w:r>
              <w:t>1100</w:t>
            </w:r>
          </w:p>
        </w:tc>
        <w:tc>
          <w:tcPr>
            <w:vAlign w:val="center"/>
          </w:tcPr>
          <w:p>
            <w:r>
              <w:t>2100</w:t>
            </w:r>
          </w:p>
        </w:tc>
        <w:tc>
          <w:tcPr>
            <w:vAlign w:val="center"/>
          </w:tcPr>
          <w:p>
            <w:r>
              <w:t>0.20</w:t>
            </w:r>
          </w:p>
        </w:tc>
        <w:tc>
          <w:tcPr>
            <w:vAlign w:val="center"/>
          </w:tcPr>
          <w:p>
            <w:r>
              <w:t>单层铝窗</w:t>
            </w:r>
          </w:p>
        </w:tc>
        <w:tc>
          <w:tcPr>
            <w:vAlign w:val="center"/>
          </w:tcPr>
          <w:p>
            <w:r>
              <w:t>夹层玻璃</w:t>
            </w:r>
          </w:p>
        </w:tc>
        <w:tc>
          <w:tcPr>
            <w:vAlign w:val="center"/>
          </w:tcPr>
          <w:p>
            <w:r>
              <w:t>0.89</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M1221</w:t>
            </w:r>
          </w:p>
        </w:tc>
        <w:tc>
          <w:tcPr>
            <w:vAlign w:val="center"/>
          </w:tcPr>
          <w:p>
            <w:r>
              <w:t>1200</w:t>
            </w:r>
          </w:p>
        </w:tc>
        <w:tc>
          <w:tcPr>
            <w:vAlign w:val="center"/>
          </w:tcPr>
          <w:p>
            <w:r>
              <w:t>2100</w:t>
            </w:r>
          </w:p>
        </w:tc>
        <w:tc>
          <w:tcPr>
            <w:vAlign w:val="center"/>
          </w:tcPr>
          <w:p>
            <w:r>
              <w:t>0.20</w:t>
            </w:r>
          </w:p>
        </w:tc>
        <w:tc>
          <w:tcPr>
            <w:vAlign w:val="center"/>
          </w:tcPr>
          <w:p>
            <w:r>
              <w:t>单层铝窗</w:t>
            </w:r>
          </w:p>
        </w:tc>
        <w:tc>
          <w:tcPr>
            <w:vAlign w:val="center"/>
          </w:tcPr>
          <w:p>
            <w:r>
              <w:t>夹层玻璃</w:t>
            </w:r>
          </w:p>
        </w:tc>
        <w:tc>
          <w:tcPr>
            <w:vAlign w:val="center"/>
          </w:tcPr>
          <w:p>
            <w:r>
              <w:t>0.89</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M1621</w:t>
            </w:r>
          </w:p>
        </w:tc>
        <w:tc>
          <w:tcPr>
            <w:vAlign w:val="center"/>
          </w:tcPr>
          <w:p>
            <w:r>
              <w:t>1600</w:t>
            </w:r>
          </w:p>
        </w:tc>
        <w:tc>
          <w:tcPr>
            <w:vAlign w:val="center"/>
          </w:tcPr>
          <w:p>
            <w:r>
              <w:t>2100</w:t>
            </w:r>
          </w:p>
        </w:tc>
        <w:tc>
          <w:tcPr>
            <w:vAlign w:val="center"/>
          </w:tcPr>
          <w:p>
            <w:r>
              <w:t>0.20</w:t>
            </w:r>
          </w:p>
        </w:tc>
        <w:tc>
          <w:tcPr>
            <w:vAlign w:val="center"/>
          </w:tcPr>
          <w:p>
            <w:r>
              <w:t>单层铝窗</w:t>
            </w:r>
          </w:p>
        </w:tc>
        <w:tc>
          <w:tcPr>
            <w:vAlign w:val="center"/>
          </w:tcPr>
          <w:p>
            <w:r>
              <w:t>夹层玻璃</w:t>
            </w:r>
          </w:p>
        </w:tc>
        <w:tc>
          <w:tcPr>
            <w:vAlign w:val="center"/>
          </w:tcPr>
          <w:p>
            <w:r>
              <w:t>0.89</w:t>
            </w:r>
          </w:p>
        </w:tc>
        <w:tc>
          <w:tcPr>
            <w:vAlign w:val="center"/>
          </w:tcPr>
          <w:p>
            <w:r>
              <w:t>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M1821</w:t>
            </w:r>
          </w:p>
        </w:tc>
        <w:tc>
          <w:tcPr>
            <w:vAlign w:val="center"/>
          </w:tcPr>
          <w:p>
            <w:r>
              <w:t>1800</w:t>
            </w:r>
          </w:p>
        </w:tc>
        <w:tc>
          <w:tcPr>
            <w:vAlign w:val="center"/>
          </w:tcPr>
          <w:p>
            <w:r>
              <w:t>2100</w:t>
            </w:r>
          </w:p>
        </w:tc>
        <w:tc>
          <w:tcPr>
            <w:vAlign w:val="center"/>
          </w:tcPr>
          <w:p>
            <w:r>
              <w:t>0.20</w:t>
            </w:r>
          </w:p>
        </w:tc>
        <w:tc>
          <w:tcPr>
            <w:vAlign w:val="center"/>
          </w:tcPr>
          <w:p>
            <w:r>
              <w:t>单层铝窗</w:t>
            </w:r>
          </w:p>
        </w:tc>
        <w:tc>
          <w:tcPr>
            <w:vAlign w:val="center"/>
          </w:tcPr>
          <w:p>
            <w:r>
              <w:t>夹层玻璃</w:t>
            </w:r>
          </w:p>
        </w:tc>
        <w:tc>
          <w:tcPr>
            <w:vAlign w:val="center"/>
          </w:tcPr>
          <w:p>
            <w:r>
              <w:t>0.89</w:t>
            </w:r>
          </w:p>
        </w:tc>
        <w:tc>
          <w:tcPr>
            <w:vAlign w:val="center"/>
          </w:tcPr>
          <w:p>
            <w:r>
              <w:t>0.30</w:t>
            </w:r>
          </w:p>
        </w:tc>
      </w:tr>
    </w:tbl>
    <w:p>
      <w:pPr>
        <w:pStyle w:val="3"/>
        <w:rPr>
          <w:sz w:val="18"/>
          <w:szCs w:val="18"/>
          <w:lang w:val="en-US"/>
        </w:rPr>
      </w:pPr>
      <w:r>
        <w:rPr>
          <w:sz w:val="18"/>
          <w:szCs w:val="18"/>
          <w:lang w:val="en-US"/>
        </w:rPr>
        <w:t>注：计算考虑了外窗玻璃的污染折减系数影响，系数取值0.9。</w:t>
      </w:r>
    </w:p>
    <w:p>
      <w:pPr>
        <w:pStyle w:val="3"/>
        <w:rPr>
          <w:sz w:val="18"/>
          <w:szCs w:val="18"/>
          <w:lang w:val="en-US"/>
        </w:rPr>
      </w:pPr>
    </w:p>
    <w:p>
      <w:pPr>
        <w:pStyle w:val="5"/>
      </w:pPr>
      <w:bookmarkStart w:id="78" w:name="_Toc20507"/>
      <w:bookmarkStart w:id="79" w:name="窗"/>
      <w:r>
        <w:t>普通</w:t>
      </w:r>
      <w:r>
        <w:rPr>
          <w:rFonts w:hint="eastAsia"/>
        </w:rPr>
        <w:t>窗</w:t>
      </w:r>
      <w:bookmarkEnd w:id="78"/>
    </w:p>
    <w:bookmarkEnd w:id="79"/>
    <w:tbl>
      <w:tblPr>
        <w:tblStyle w:val="23"/>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C0615</w:t>
            </w:r>
          </w:p>
        </w:tc>
        <w:tc>
          <w:tcPr>
            <w:vAlign w:val="center"/>
          </w:tcPr>
          <w:p>
            <w:r>
              <w:t>600</w:t>
            </w:r>
          </w:p>
        </w:tc>
        <w:tc>
          <w:tcPr>
            <w:vAlign w:val="center"/>
          </w:tcPr>
          <w:p>
            <w:r>
              <w:t>1500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1500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C1218</w:t>
            </w:r>
          </w:p>
        </w:tc>
        <w:tc>
          <w:tcPr>
            <w:vAlign w:val="center"/>
          </w:tcPr>
          <w:p>
            <w:r>
              <w:t>1200</w:t>
            </w:r>
          </w:p>
        </w:tc>
        <w:tc>
          <w:tcPr>
            <w:vAlign w:val="center"/>
          </w:tcPr>
          <w:p>
            <w:r>
              <w:t>1800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1500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t>C1521</w:t>
            </w:r>
          </w:p>
        </w:tc>
        <w:tc>
          <w:tcPr>
            <w:vAlign w:val="center"/>
          </w:tcPr>
          <w:p>
            <w:r>
              <w:t>1500</w:t>
            </w:r>
          </w:p>
        </w:tc>
        <w:tc>
          <w:tcPr>
            <w:vAlign w:val="center"/>
          </w:tcPr>
          <w:p>
            <w:r>
              <w:t>2100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C1524</w:t>
            </w:r>
          </w:p>
        </w:tc>
        <w:tc>
          <w:tcPr>
            <w:vAlign w:val="center"/>
          </w:tcPr>
          <w:p>
            <w:r>
              <w:t>1500</w:t>
            </w:r>
          </w:p>
        </w:tc>
        <w:tc>
          <w:tcPr>
            <w:vAlign w:val="center"/>
          </w:tcPr>
          <w:p>
            <w:r>
              <w:t>2400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C1821</w:t>
            </w:r>
          </w:p>
        </w:tc>
        <w:tc>
          <w:tcPr>
            <w:vAlign w:val="center"/>
          </w:tcPr>
          <w:p>
            <w:r>
              <w:t>1800</w:t>
            </w:r>
          </w:p>
        </w:tc>
        <w:tc>
          <w:tcPr>
            <w:vAlign w:val="center"/>
          </w:tcPr>
          <w:p>
            <w:r>
              <w:t>2100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C1824</w:t>
            </w:r>
          </w:p>
        </w:tc>
        <w:tc>
          <w:tcPr>
            <w:vAlign w:val="center"/>
          </w:tcPr>
          <w:p>
            <w:r>
              <w:t>1800</w:t>
            </w:r>
          </w:p>
        </w:tc>
        <w:tc>
          <w:tcPr>
            <w:vAlign w:val="center"/>
          </w:tcPr>
          <w:p>
            <w:r>
              <w:t>2400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C2015</w:t>
            </w:r>
          </w:p>
        </w:tc>
        <w:tc>
          <w:tcPr>
            <w:vAlign w:val="center"/>
          </w:tcPr>
          <w:p>
            <w:r>
              <w:t>2000</w:t>
            </w:r>
          </w:p>
        </w:tc>
        <w:tc>
          <w:tcPr>
            <w:vAlign w:val="center"/>
          </w:tcPr>
          <w:p>
            <w:r>
              <w:t>1500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C2115</w:t>
            </w:r>
          </w:p>
        </w:tc>
        <w:tc>
          <w:tcPr>
            <w:vAlign w:val="center"/>
          </w:tcPr>
          <w:p>
            <w:r>
              <w:t>2100</w:t>
            </w:r>
          </w:p>
        </w:tc>
        <w:tc>
          <w:tcPr>
            <w:vAlign w:val="center"/>
          </w:tcPr>
          <w:p>
            <w:r>
              <w:t>1500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C2118</w:t>
            </w:r>
          </w:p>
        </w:tc>
        <w:tc>
          <w:tcPr>
            <w:vAlign w:val="center"/>
          </w:tcPr>
          <w:p>
            <w:r>
              <w:t>2100</w:t>
            </w:r>
          </w:p>
        </w:tc>
        <w:tc>
          <w:tcPr>
            <w:vAlign w:val="center"/>
          </w:tcPr>
          <w:p>
            <w:r>
              <w:t>1800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C2124</w:t>
            </w:r>
          </w:p>
        </w:tc>
        <w:tc>
          <w:tcPr>
            <w:vAlign w:val="center"/>
          </w:tcPr>
          <w:p>
            <w:r>
              <w:t>2100</w:t>
            </w:r>
          </w:p>
        </w:tc>
        <w:tc>
          <w:tcPr>
            <w:vAlign w:val="center"/>
          </w:tcPr>
          <w:p>
            <w:r>
              <w:t>2400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C2421</w:t>
            </w:r>
          </w:p>
        </w:tc>
        <w:tc>
          <w:tcPr>
            <w:vAlign w:val="center"/>
          </w:tcPr>
          <w:p>
            <w:r>
              <w:t>2400</w:t>
            </w:r>
          </w:p>
        </w:tc>
        <w:tc>
          <w:tcPr>
            <w:vAlign w:val="center"/>
          </w:tcPr>
          <w:p>
            <w:r>
              <w:t>2100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C2721</w:t>
            </w:r>
          </w:p>
        </w:tc>
        <w:tc>
          <w:tcPr>
            <w:vAlign w:val="center"/>
          </w:tcPr>
          <w:p>
            <w:r>
              <w:t>2200</w:t>
            </w:r>
          </w:p>
        </w:tc>
        <w:tc>
          <w:tcPr>
            <w:vAlign w:val="center"/>
          </w:tcPr>
          <w:p>
            <w:r>
              <w:t>2100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C3018</w:t>
            </w:r>
          </w:p>
        </w:tc>
        <w:tc>
          <w:tcPr>
            <w:vAlign w:val="center"/>
          </w:tcPr>
          <w:p>
            <w:r>
              <w:t>3000</w:t>
            </w:r>
          </w:p>
        </w:tc>
        <w:tc>
          <w:tcPr>
            <w:vAlign w:val="center"/>
          </w:tcPr>
          <w:p>
            <w:r>
              <w:t>1800</w:t>
            </w:r>
          </w:p>
        </w:tc>
        <w:tc>
          <w:tcPr>
            <w:vAlign w:val="center"/>
          </w:tcPr>
          <w:p>
            <w:r>
              <w:t>单层钢窗</w:t>
            </w:r>
          </w:p>
        </w:tc>
        <w:tc>
          <w:tcPr>
            <w:vAlign w:val="center"/>
          </w:tcPr>
          <w:p>
            <w:r>
              <w:t>夹层玻璃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C3024</w:t>
            </w:r>
          </w:p>
        </w:tc>
        <w:tc>
          <w:tcPr>
            <w:vAlign w:val="center"/>
          </w:tcPr>
          <w:p>
            <w:r>
              <w:t>3000</w:t>
            </w:r>
          </w:p>
        </w:tc>
        <w:tc>
          <w:tcPr>
            <w:vAlign w:val="center"/>
          </w:tcPr>
          <w:p>
            <w:r>
              <w:t>2400</w:t>
            </w:r>
          </w:p>
        </w:tc>
        <w:tc>
          <w:tcPr>
            <w:vAlign w:val="center"/>
          </w:tcPr>
          <w:p>
            <w:r>
              <w:t>单层钢窗</w:t>
            </w:r>
          </w:p>
        </w:tc>
        <w:tc>
          <w:tcPr>
            <w:vAlign w:val="center"/>
          </w:tcPr>
          <w:p>
            <w:r>
              <w:t>夹层玻璃</w:t>
            </w:r>
          </w:p>
        </w:tc>
        <w:tc>
          <w:tcPr>
            <w:vAlign w:val="center"/>
          </w:tcPr>
          <w:p>
            <w:r>
              <w:t>0.89</w:t>
            </w:r>
          </w:p>
        </w:tc>
        <w:tc>
          <w:tcPr>
            <w:vAlign w:val="center"/>
          </w:tcPr>
          <w:p>
            <w:r>
              <w:t>0.08</w:t>
            </w:r>
          </w:p>
        </w:tc>
      </w:tr>
    </w:tbl>
    <w:p>
      <w:pPr>
        <w:pStyle w:val="3"/>
        <w:rPr>
          <w:sz w:val="18"/>
          <w:szCs w:val="18"/>
          <w:lang w:val="en-US"/>
        </w:rPr>
      </w:pPr>
      <w:r>
        <w:rPr>
          <w:sz w:val="18"/>
          <w:szCs w:val="18"/>
          <w:lang w:val="en-US"/>
        </w:rPr>
        <w:t>注：计算考虑了外窗玻璃的污染折减系数影响，系数取值0.9。</w:t>
      </w:r>
    </w:p>
    <w:p>
      <w:pPr>
        <w:pStyle w:val="3"/>
        <w:rPr>
          <w:sz w:val="18"/>
          <w:szCs w:val="18"/>
          <w:lang w:val="en-US"/>
        </w:rPr>
      </w:pPr>
    </w:p>
    <w:p>
      <w:pPr>
        <w:pStyle w:val="3"/>
        <w:rPr>
          <w:sz w:val="18"/>
          <w:szCs w:val="18"/>
          <w:lang w:val="en-US"/>
        </w:rPr>
      </w:pPr>
    </w:p>
    <w:p>
      <w:pPr>
        <w:pStyle w:val="3"/>
        <w:rPr>
          <w:sz w:val="18"/>
          <w:szCs w:val="18"/>
          <w:lang w:val="en-US"/>
        </w:rPr>
      </w:pPr>
    </w:p>
    <w:p>
      <w:pPr>
        <w:pStyle w:val="3"/>
        <w:rPr>
          <w:sz w:val="18"/>
          <w:szCs w:val="18"/>
          <w:lang w:val="en-US"/>
        </w:rPr>
      </w:pPr>
      <w:bookmarkStart w:id="80" w:name="窗污染折减系数"/>
      <w:bookmarkEnd w:id="80"/>
    </w:p>
    <w:p>
      <w:pPr>
        <w:pStyle w:val="2"/>
        <w:rPr>
          <w:rFonts w:ascii="微软雅黑" w:hAnsi="微软雅黑"/>
        </w:rPr>
      </w:pPr>
      <w:bookmarkStart w:id="81" w:name="_Toc22154"/>
      <w:r>
        <w:rPr>
          <w:rFonts w:hint="eastAsia" w:ascii="微软雅黑" w:hAnsi="微软雅黑"/>
        </w:rPr>
        <w:t>动态采光达标统计</w:t>
      </w:r>
      <w:bookmarkEnd w:id="81"/>
    </w:p>
    <w:p>
      <w:pPr>
        <w:pStyle w:val="3"/>
        <w:ind w:firstLine="420" w:firstLineChars="200"/>
      </w:pPr>
      <w:r>
        <w:rPr>
          <w:rFonts w:hint="eastAsia"/>
          <w:lang w:val="en-US"/>
        </w:rPr>
        <w:t>通过计算</w:t>
      </w:r>
      <w:r>
        <w:rPr>
          <w:lang w:val="en-US"/>
        </w:rPr>
        <w:t>可知项目</w:t>
      </w:r>
      <w:r>
        <w:rPr>
          <w:rFonts w:hint="eastAsia"/>
          <w:lang w:val="en-US"/>
        </w:rPr>
        <w:t>中</w:t>
      </w:r>
      <w:r>
        <w:rPr>
          <w:lang w:val="en-US"/>
        </w:rPr>
        <w:t>主要功能房间</w:t>
      </w:r>
      <w:r>
        <w:rPr>
          <w:rFonts w:hint="eastAsia"/>
          <w:lang w:val="en-US"/>
        </w:rPr>
        <w:t>内全年</w:t>
      </w:r>
      <w:r>
        <w:rPr>
          <w:lang w:val="en-US"/>
        </w:rPr>
        <w:t>照度</w:t>
      </w:r>
      <w:r>
        <w:rPr>
          <w:rFonts w:hint="eastAsia"/>
          <w:lang w:val="en-US"/>
        </w:rPr>
        <w:t>达标</w:t>
      </w:r>
      <w:r>
        <w:rPr>
          <w:lang w:val="en-US"/>
        </w:rPr>
        <w:t>的时间</w:t>
      </w:r>
      <w:r>
        <w:rPr>
          <w:rFonts w:hint="eastAsia"/>
          <w:lang w:val="en-US"/>
        </w:rPr>
        <w:t>，满足</w:t>
      </w:r>
      <w:r>
        <w:rPr>
          <w:lang w:val="en-US"/>
        </w:rPr>
        <w:t>时间要求的区域即可参与达标统计，</w:t>
      </w:r>
      <w:r>
        <w:rPr>
          <w:rFonts w:hint="eastAsia"/>
          <w:lang w:val="en-US"/>
        </w:rPr>
        <w:t>多个</w:t>
      </w:r>
      <w:r>
        <w:rPr>
          <w:lang w:val="en-US"/>
        </w:rPr>
        <w:t>房间统计时利用面积加权</w:t>
      </w:r>
      <w:r>
        <w:rPr>
          <w:rFonts w:hint="eastAsia"/>
          <w:lang w:val="en-US"/>
        </w:rPr>
        <w:t>进行统计</w:t>
      </w:r>
      <w:r>
        <w:rPr>
          <w:lang w:val="en-US"/>
        </w:rPr>
        <w:t>，</w:t>
      </w:r>
      <w:r>
        <w:rPr>
          <w:rFonts w:hint="eastAsia"/>
          <w:lang w:val="en-US"/>
        </w:rPr>
        <w:t>得出满足</w:t>
      </w:r>
      <w:r>
        <w:rPr>
          <w:lang w:val="en-US"/>
        </w:rPr>
        <w:t>照度</w:t>
      </w:r>
      <w:r>
        <w:rPr>
          <w:rFonts w:hint="eastAsia"/>
          <w:lang w:val="en-US"/>
        </w:rPr>
        <w:t>要求</w:t>
      </w:r>
      <w:r>
        <w:rPr>
          <w:lang w:val="en-US"/>
        </w:rPr>
        <w:t>的日均时长</w:t>
      </w:r>
      <w:r>
        <w:rPr>
          <w:rFonts w:hint="eastAsia"/>
          <w:lang w:val="en-US"/>
        </w:rPr>
        <w:t>，</w:t>
      </w:r>
      <w:r>
        <w:t>如下表所示：</w:t>
      </w:r>
    </w:p>
    <w:tbl>
      <w:tblPr>
        <w:tblStyle w:val="23"/>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35"/>
        <w:gridCol w:w="651"/>
        <w:gridCol w:w="141"/>
        <w:gridCol w:w="933"/>
        <w:gridCol w:w="227"/>
        <w:gridCol w:w="848"/>
        <w:gridCol w:w="510"/>
        <w:gridCol w:w="197"/>
        <w:gridCol w:w="707"/>
        <w:gridCol w:w="539"/>
        <w:gridCol w:w="592"/>
        <w:gridCol w:w="653"/>
        <w:gridCol w:w="422"/>
        <w:gridCol w:w="823"/>
        <w:gridCol w:w="252"/>
        <w:gridCol w:w="990"/>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shd w:val="clear" w:color="auto" w:fill="E6E6E6"/>
            <w:vAlign w:val="center"/>
          </w:tcPr>
          <w:p>
            <w:pPr>
              <w:jc w:val="center"/>
            </w:pPr>
            <w:r>
              <w:t>楼层</w:t>
            </w:r>
          </w:p>
        </w:tc>
        <w:tc>
          <w:tcPr>
            <w:gridSpan w:val="2"/>
            <w:shd w:val="clear" w:color="auto" w:fill="E6E6E6"/>
            <w:vAlign w:val="center"/>
          </w:tcPr>
          <w:p>
            <w:pPr>
              <w:jc w:val="center"/>
            </w:pPr>
            <w:r>
              <w:t>户型</w:t>
            </w:r>
          </w:p>
        </w:tc>
        <w:tc>
          <w:tcPr>
            <w:shd w:val="clear" w:color="auto" w:fill="E6E6E6"/>
            <w:vAlign w:val="center"/>
          </w:tcPr>
          <w:p>
            <w:pPr>
              <w:jc w:val="center"/>
            </w:pPr>
            <w:r>
              <w:t>房间</w:t>
            </w:r>
            <w:r>
              <w:br w:type="textWrapping"/>
            </w:r>
            <w:r>
              <w:t>编号</w:t>
            </w:r>
          </w:p>
        </w:tc>
        <w:tc>
          <w:tcPr>
            <w:gridSpan w:val="2"/>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设计照度</w:t>
            </w:r>
            <w:r>
              <w:br w:type="textWrapping"/>
            </w:r>
            <w:r>
              <w:t>要求(Lx)</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平均时数</w:t>
            </w:r>
            <w:r>
              <w:br w:type="textWrapping"/>
            </w:r>
            <w:r>
              <w:t>(h/d)</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5</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7.9</w:t>
            </w:r>
          </w:p>
        </w:tc>
        <w:tc>
          <w:tcPr>
            <w:vAlign w:val="center"/>
          </w:tcPr>
          <w:p>
            <w:pPr>
              <w:jc w:val="center"/>
            </w:pPr>
            <w:r>
              <w:rPr>
                <w:color w:val="FF0000"/>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1-C</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14.94</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5039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5040</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1-D</w:t>
            </w: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6</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7</w:t>
            </w:r>
          </w:p>
        </w:tc>
        <w:tc>
          <w:tcPr>
            <w:gridSpan w:val="2"/>
            <w:vAlign w:val="center"/>
          </w:tcPr>
          <w:p>
            <w:pPr>
              <w:jc w:val="center"/>
            </w:pP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14.94</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8</w:t>
            </w:r>
          </w:p>
        </w:tc>
        <w:tc>
          <w:tcPr>
            <w:gridSpan w:val="2"/>
            <w:vMerge w:val="restart"/>
            <w:vAlign w:val="center"/>
          </w:tcPr>
          <w:p>
            <w:pPr>
              <w:jc w:val="center"/>
            </w:pPr>
            <w:r>
              <w:t>1-C</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14.94</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5039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5040</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1-D</w:t>
            </w: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9</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1-C</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14.94</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5039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5040</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1-D</w:t>
            </w: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10</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1-C</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14.94</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5039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5040</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1-D</w:t>
            </w: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11</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1-C</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14.94</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5039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5040</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1-D</w:t>
            </w: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12</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13</w:t>
            </w:r>
          </w:p>
        </w:tc>
        <w:tc>
          <w:tcPr>
            <w:gridSpan w:val="2"/>
            <w:vAlign w:val="center"/>
          </w:tcPr>
          <w:p>
            <w:pPr>
              <w:jc w:val="center"/>
            </w:pP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14</w:t>
            </w:r>
          </w:p>
        </w:tc>
        <w:tc>
          <w:tcPr>
            <w:gridSpan w:val="2"/>
            <w:vMerge w:val="restart"/>
            <w:vAlign w:val="center"/>
          </w:tcPr>
          <w:p>
            <w:pPr>
              <w:jc w:val="center"/>
            </w:pPr>
            <w:r>
              <w:t>1-C</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14.94</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5039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5040</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1-D</w:t>
            </w: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15</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1-C</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5039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5040</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1-D</w:t>
            </w: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16</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1-C</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14.94</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5039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5040</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1-D</w:t>
            </w: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17</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18</w:t>
            </w:r>
          </w:p>
        </w:tc>
        <w:tc>
          <w:tcPr>
            <w:gridSpan w:val="2"/>
            <w:vAlign w:val="center"/>
          </w:tcPr>
          <w:p>
            <w:pPr>
              <w:jc w:val="center"/>
            </w:pP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19</w:t>
            </w:r>
          </w:p>
        </w:tc>
        <w:tc>
          <w:tcPr>
            <w:gridSpan w:val="2"/>
            <w:vMerge w:val="restart"/>
            <w:vAlign w:val="center"/>
          </w:tcPr>
          <w:p>
            <w:pPr>
              <w:jc w:val="center"/>
            </w:pPr>
            <w:r>
              <w:t>1-C</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14.94</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5039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5040</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1-D</w:t>
            </w: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20</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1-C</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5003</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14.94</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5039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5040</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1-D</w:t>
            </w:r>
          </w:p>
        </w:tc>
        <w:tc>
          <w:tcPr>
            <w:vAlign w:val="center"/>
          </w:tcPr>
          <w:p>
            <w:pPr>
              <w:jc w:val="center"/>
            </w:pPr>
            <w:r>
              <w:t>5006</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14.93</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5007</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14.35</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5008</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15.00</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5026</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9.01</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10.46</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5042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8.82</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21</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8.7</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8.9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8.4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9.0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9.6</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restart"/>
            <w:vAlign w:val="center"/>
          </w:tcPr>
          <w:p>
            <w:pPr>
              <w:jc w:val="center"/>
            </w:pPr>
            <w:r>
              <w:t>22</w:t>
            </w:r>
          </w:p>
        </w:tc>
        <w:tc>
          <w:tcPr>
            <w:gridSpan w:val="2"/>
            <w:vMerge w:val="restart"/>
            <w:vAlign w:val="center"/>
          </w:tcPr>
          <w:p>
            <w:pPr>
              <w:jc w:val="center"/>
            </w:pPr>
            <w:r>
              <w:t>1-A</w:t>
            </w:r>
          </w:p>
        </w:tc>
        <w:tc>
          <w:tcPr>
            <w:vAlign w:val="center"/>
          </w:tcPr>
          <w:p>
            <w:pPr>
              <w:jc w:val="center"/>
            </w:pPr>
            <w:r>
              <w:t>5001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5001</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5009</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5021</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restart"/>
            <w:vAlign w:val="center"/>
          </w:tcPr>
          <w:p>
            <w:pPr>
              <w:jc w:val="center"/>
            </w:pPr>
            <w:r>
              <w:t>1-B</w:t>
            </w:r>
          </w:p>
        </w:tc>
        <w:tc>
          <w:tcPr>
            <w:vAlign w:val="center"/>
          </w:tcPr>
          <w:p>
            <w:pPr>
              <w:jc w:val="center"/>
            </w:pPr>
            <w:r>
              <w:t>5003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13.34</w:t>
            </w:r>
          </w:p>
        </w:tc>
        <w:tc>
          <w:tcPr>
            <w:gridSpan w:val="2"/>
            <w:vAlign w:val="center"/>
          </w:tcPr>
          <w:p>
            <w:pPr>
              <w:jc w:val="center"/>
            </w:pPr>
            <w:r>
              <w:t>9.1</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5004</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17.02</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5012</w:t>
            </w:r>
          </w:p>
        </w:tc>
        <w:tc>
          <w:tcPr>
            <w:gridSpan w:val="2"/>
            <w:vAlign w:val="center"/>
          </w:tcPr>
          <w:p>
            <w:pPr>
              <w:jc w:val="center"/>
            </w:pPr>
            <w:r>
              <w:t>起居室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16.98</w:t>
            </w:r>
          </w:p>
        </w:tc>
        <w:tc>
          <w:tcPr>
            <w:gridSpan w:val="2"/>
            <w:vAlign w:val="center"/>
          </w:tcPr>
          <w:p>
            <w:pPr>
              <w:jc w:val="center"/>
            </w:pPr>
            <w:r>
              <w:t>9.4</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5013</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9.76</w:t>
            </w:r>
          </w:p>
        </w:tc>
        <w:tc>
          <w:tcPr>
            <w:gridSpan w:val="2"/>
            <w:vAlign w:val="center"/>
          </w:tcPr>
          <w:p>
            <w:pPr>
              <w:jc w:val="center"/>
            </w:pPr>
            <w:r>
              <w:t>9.5</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5014</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17.84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wAfter w:w="3" w:type="dxa"/>
        </w:trPr>
        <w:tc>
          <w:tcPr>
            <w:vMerge w:val="continue"/>
            <w:vAlign w:val="center"/>
          </w:tcPr>
          <w:p>
            <w:pPr>
              <w:jc w:val="center"/>
            </w:pPr>
          </w:p>
        </w:tc>
        <w:tc>
          <w:tcPr>
            <w:gridSpan w:val="2"/>
            <w:vMerge w:val="continue"/>
            <w:vAlign w:val="center"/>
          </w:tcPr>
          <w:p>
            <w:pPr>
              <w:jc w:val="center"/>
            </w:pPr>
          </w:p>
        </w:tc>
        <w:tc>
          <w:tcPr>
            <w:vAlign w:val="center"/>
          </w:tcPr>
          <w:p>
            <w:pPr>
              <w:jc w:val="center"/>
            </w:pPr>
            <w:r>
              <w:t>5022</w:t>
            </w:r>
          </w:p>
        </w:tc>
        <w:tc>
          <w:tcPr>
            <w:gridSpan w:val="2"/>
            <w:vAlign w:val="center"/>
          </w:tcPr>
          <w:p>
            <w:pPr>
              <w:jc w:val="center"/>
            </w:pPr>
            <w:r>
              <w:t>卧室</w:t>
            </w:r>
          </w:p>
        </w:tc>
        <w:tc>
          <w:tcPr>
            <w:gridSpan w:val="2"/>
            <w:vAlign w:val="center"/>
          </w:tcPr>
          <w:p>
            <w:pPr>
              <w:jc w:val="center"/>
            </w:pPr>
            <w:r>
              <w:t>IV</w:t>
            </w:r>
          </w:p>
        </w:tc>
        <w:tc>
          <w:tcPr>
            <w:vAlign w:val="center"/>
          </w:tcPr>
          <w:p>
            <w:pPr>
              <w:jc w:val="center"/>
            </w:pPr>
            <w:r>
              <w:t>侧面</w:t>
            </w:r>
          </w:p>
        </w:tc>
        <w:tc>
          <w:tcPr>
            <w:gridSpan w:val="2"/>
            <w:vAlign w:val="center"/>
          </w:tcPr>
          <w:p>
            <w:pPr>
              <w:jc w:val="center"/>
            </w:pPr>
            <w:r>
              <w:t>300</w:t>
            </w:r>
          </w:p>
        </w:tc>
        <w:tc>
          <w:tcPr>
            <w:gridSpan w:val="2"/>
            <w:vAlign w:val="center"/>
          </w:tcPr>
          <w:p>
            <w:pPr>
              <w:jc w:val="center"/>
            </w:pPr>
            <w:r>
              <w:t>10.64</w:t>
            </w:r>
          </w:p>
        </w:tc>
        <w:tc>
          <w:tcPr>
            <w:gridSpan w:val="2"/>
            <w:vAlign w:val="center"/>
          </w:tcPr>
          <w:p>
            <w:pPr>
              <w:jc w:val="center"/>
            </w:pPr>
            <w:r>
              <w:t>9.3</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restart"/>
            <w:shd w:val="clear" w:color="auto" w:fill="E6E6E6"/>
            <w:vAlign w:val="center"/>
          </w:tcPr>
          <w:p>
            <w:pPr>
              <w:jc w:val="center"/>
            </w:pPr>
            <w:r>
              <w:t>房间类型</w:t>
            </w:r>
          </w:p>
        </w:tc>
        <w:tc>
          <w:tcPr>
            <w:gridSpan w:val="3"/>
            <w:vMerge w:val="restart"/>
            <w:shd w:val="clear" w:color="auto" w:fill="E6E6E6"/>
            <w:vAlign w:val="center"/>
          </w:tcPr>
          <w:p>
            <w:pPr>
              <w:jc w:val="center"/>
            </w:pPr>
            <w:r>
              <w:t>采光类型</w:t>
            </w:r>
          </w:p>
        </w:tc>
        <w:tc>
          <w:tcPr>
            <w:gridSpan w:val="5"/>
            <w:shd w:val="clear" w:color="auto" w:fill="E6E6E6"/>
            <w:vAlign w:val="center"/>
          </w:tcPr>
          <w:p>
            <w:pPr>
              <w:jc w:val="center"/>
            </w:pPr>
            <w:r>
              <w:t>标准值</w:t>
            </w:r>
          </w:p>
        </w:tc>
        <w:tc>
          <w:tcPr>
            <w:gridSpan w:val="2"/>
            <w:vMerge w:val="restart"/>
            <w:shd w:val="clear" w:color="auto" w:fill="E6E6E6"/>
            <w:vAlign w:val="center"/>
          </w:tcPr>
          <w:p>
            <w:pPr>
              <w:jc w:val="center"/>
            </w:pPr>
            <w:r>
              <w:t>总面积</w:t>
            </w:r>
            <w:r>
              <w:br w:type="textWrapping"/>
            </w:r>
            <w:r>
              <w:t>(m2)</w:t>
            </w:r>
          </w:p>
        </w:tc>
        <w:tc>
          <w:tcPr>
            <w:gridSpan w:val="2"/>
            <w:vMerge w:val="restart"/>
            <w:shd w:val="clear" w:color="auto" w:fill="E6E6E6"/>
            <w:vAlign w:val="center"/>
          </w:tcPr>
          <w:p>
            <w:pPr>
              <w:jc w:val="center"/>
            </w:pPr>
            <w:r>
              <w:t>平均时数</w:t>
            </w:r>
            <w:r>
              <w:br w:type="textWrapping"/>
            </w:r>
            <w:r>
              <w:t>(h/d)</w:t>
            </w:r>
          </w:p>
        </w:tc>
        <w:tc>
          <w:tcPr>
            <w:gridSpan w:val="3"/>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Merge w:val="continue"/>
            <w:shd w:val="clear" w:color="auto" w:fill="E6E6E6"/>
            <w:vAlign w:val="center"/>
          </w:tcPr>
          <w:p>
            <w:pPr>
              <w:jc w:val="center"/>
            </w:pPr>
          </w:p>
        </w:tc>
        <w:tc>
          <w:tcPr>
            <w:gridSpan w:val="3"/>
            <w:vMerge w:val="continue"/>
            <w:shd w:val="clear" w:color="auto" w:fill="E6E6E6"/>
            <w:vAlign w:val="center"/>
          </w:tcPr>
          <w:p>
            <w:pPr>
              <w:jc w:val="center"/>
            </w:pPr>
          </w:p>
        </w:tc>
        <w:tc>
          <w:tcPr>
            <w:gridSpan w:val="2"/>
            <w:shd w:val="clear" w:color="auto" w:fill="E6E6E6"/>
            <w:vAlign w:val="center"/>
          </w:tcPr>
          <w:p>
            <w:pPr>
              <w:jc w:val="center"/>
            </w:pPr>
            <w:r>
              <w:t>平均采光</w:t>
            </w:r>
            <w:r>
              <w:br w:type="textWrapping"/>
            </w:r>
            <w:r>
              <w:t>系数(%)</w:t>
            </w:r>
          </w:p>
        </w:tc>
        <w:tc>
          <w:tcPr>
            <w:gridSpan w:val="3"/>
            <w:shd w:val="clear" w:color="auto" w:fill="E6E6E6"/>
            <w:vAlign w:val="center"/>
          </w:tcPr>
          <w:p>
            <w:pPr>
              <w:jc w:val="center"/>
            </w:pPr>
            <w:r>
              <w:t>室内天然光</w:t>
            </w:r>
            <w:r>
              <w:br w:type="textWrapping"/>
            </w:r>
            <w:r>
              <w:t>设计照度(Lx)</w:t>
            </w:r>
          </w:p>
        </w:tc>
        <w:tc>
          <w:tcPr>
            <w:gridSpan w:val="2"/>
            <w:vMerge w:val="continue"/>
            <w:shd w:val="clear" w:color="auto" w:fill="E6E6E6"/>
            <w:vAlign w:val="center"/>
          </w:tcPr>
          <w:p>
            <w:pPr>
              <w:jc w:val="center"/>
            </w:pPr>
          </w:p>
        </w:tc>
        <w:tc>
          <w:tcPr>
            <w:gridSpan w:val="2"/>
            <w:vMerge w:val="continue"/>
            <w:shd w:val="clear" w:color="auto" w:fill="E6E6E6"/>
            <w:vAlign w:val="center"/>
          </w:tcPr>
          <w:p>
            <w:pPr>
              <w:jc w:val="center"/>
            </w:pPr>
          </w:p>
        </w:tc>
        <w:tc>
          <w:tcPr>
            <w:gridSpan w:val="3"/>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卧室</w:t>
            </w:r>
          </w:p>
        </w:tc>
        <w:tc>
          <w:tcPr>
            <w:gridSpan w:val="3"/>
            <w:vAlign w:val="center"/>
          </w:tcPr>
          <w:p>
            <w:pPr>
              <w:jc w:val="center"/>
            </w:pPr>
            <w:r>
              <w:t>侧面</w:t>
            </w:r>
          </w:p>
        </w:tc>
        <w:tc>
          <w:tcPr>
            <w:gridSpan w:val="2"/>
            <w:vAlign w:val="center"/>
          </w:tcPr>
          <w:p>
            <w:pPr>
              <w:jc w:val="center"/>
            </w:pPr>
            <w:r>
              <w:t>2.20</w:t>
            </w:r>
          </w:p>
        </w:tc>
        <w:tc>
          <w:tcPr>
            <w:gridSpan w:val="3"/>
            <w:vAlign w:val="center"/>
          </w:tcPr>
          <w:p>
            <w:pPr>
              <w:jc w:val="center"/>
            </w:pPr>
            <w:r>
              <w:t>300</w:t>
            </w:r>
          </w:p>
        </w:tc>
        <w:tc>
          <w:tcPr>
            <w:gridSpan w:val="2"/>
            <w:vAlign w:val="center"/>
          </w:tcPr>
          <w:p>
            <w:pPr>
              <w:jc w:val="center"/>
            </w:pPr>
            <w:r>
              <w:t>2641.13</w:t>
            </w:r>
          </w:p>
        </w:tc>
        <w:tc>
          <w:tcPr>
            <w:gridSpan w:val="2"/>
            <w:vAlign w:val="center"/>
          </w:tcPr>
          <w:p>
            <w:pPr>
              <w:jc w:val="center"/>
            </w:pPr>
            <w:r>
              <w:t>8.9</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起居室</w:t>
            </w:r>
          </w:p>
        </w:tc>
        <w:tc>
          <w:tcPr>
            <w:gridSpan w:val="3"/>
            <w:vAlign w:val="center"/>
          </w:tcPr>
          <w:p>
            <w:pPr>
              <w:jc w:val="center"/>
            </w:pPr>
            <w:r>
              <w:t>侧面</w:t>
            </w:r>
          </w:p>
        </w:tc>
        <w:tc>
          <w:tcPr>
            <w:gridSpan w:val="2"/>
            <w:vAlign w:val="center"/>
          </w:tcPr>
          <w:p>
            <w:pPr>
              <w:jc w:val="center"/>
            </w:pPr>
            <w:r>
              <w:t>2.20</w:t>
            </w:r>
          </w:p>
        </w:tc>
        <w:tc>
          <w:tcPr>
            <w:gridSpan w:val="3"/>
            <w:vAlign w:val="center"/>
          </w:tcPr>
          <w:p>
            <w:pPr>
              <w:jc w:val="center"/>
            </w:pPr>
            <w:r>
              <w:t>300</w:t>
            </w:r>
          </w:p>
        </w:tc>
        <w:tc>
          <w:tcPr>
            <w:gridSpan w:val="2"/>
            <w:vAlign w:val="center"/>
          </w:tcPr>
          <w:p>
            <w:pPr>
              <w:jc w:val="center"/>
            </w:pPr>
            <w:r>
              <w:t>1515.41</w:t>
            </w:r>
          </w:p>
        </w:tc>
        <w:tc>
          <w:tcPr>
            <w:gridSpan w:val="2"/>
            <w:vAlign w:val="center"/>
          </w:tcPr>
          <w:p>
            <w:pPr>
              <w:jc w:val="center"/>
            </w:pPr>
            <w:r>
              <w:t>8.6</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jc w:val="center"/>
            </w:pPr>
            <w:r>
              <w:t>多面积加权平均时数(小时/天)</w:t>
            </w:r>
          </w:p>
        </w:tc>
        <w:tc>
          <w:tcPr>
            <w:gridSpan w:val="7"/>
            <w:vAlign w:val="center"/>
          </w:tcPr>
          <w:p>
            <w:pPr>
              <w:jc w:val="center"/>
            </w:pPr>
            <w:r>
              <w:rPr>
                <w:b/>
              </w:rPr>
              <w:t>8.8</w:t>
            </w:r>
          </w:p>
        </w:tc>
      </w:tr>
    </w:tbl>
    <w:p>
      <w:bookmarkStart w:id="82" w:name="达标率表格"/>
      <w:bookmarkEnd w:id="82"/>
    </w:p>
    <w:p>
      <w:pPr>
        <w:pStyle w:val="3"/>
        <w:ind w:firstLine="420"/>
      </w:pPr>
    </w:p>
    <w:p>
      <w:pPr>
        <w:pStyle w:val="2"/>
        <w:rPr>
          <w:rFonts w:ascii="微软雅黑" w:hAnsi="微软雅黑"/>
        </w:rPr>
      </w:pPr>
      <w:bookmarkStart w:id="83" w:name="_Toc513555457"/>
      <w:bookmarkStart w:id="84" w:name="_Toc31963"/>
      <w:bookmarkStart w:id="85" w:name="_Toc38990802"/>
      <w:r>
        <w:rPr>
          <w:rFonts w:hint="eastAsia" w:ascii="微软雅黑" w:hAnsi="微软雅黑"/>
        </w:rPr>
        <w:t>动态采光</w:t>
      </w:r>
      <w:bookmarkEnd w:id="83"/>
      <w:r>
        <w:rPr>
          <w:rFonts w:hint="eastAsia" w:ascii="微软雅黑" w:hAnsi="微软雅黑"/>
        </w:rPr>
        <w:t>统计图</w:t>
      </w:r>
      <w:bookmarkEnd w:id="84"/>
      <w:bookmarkEnd w:id="85"/>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6" w:name="逐日统计图"/>
      <w:bookmarkEnd w:id="86"/>
      <w:r>
        <w:drawing>
          <wp:inline distT="0" distB="0" distL="0" distR="0">
            <wp:extent cx="5667375" cy="31242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pPr>
        <w:pStyle w:val="3"/>
        <w:jc w:val="center"/>
        <w:rPr>
          <w:lang w:val="en-US"/>
        </w:rPr>
      </w:pPr>
      <w:r>
        <w:rPr>
          <w:rFonts w:hint="eastAsia"/>
          <w:lang w:val="en-US"/>
        </w:rPr>
        <w:t>动态采光逐日统计图</w:t>
      </w:r>
    </w:p>
    <w:p>
      <w:pPr>
        <w:pStyle w:val="3"/>
        <w:jc w:val="center"/>
        <w:rPr>
          <w:b/>
          <w:bCs/>
          <w:lang w:val="en-US"/>
        </w:rPr>
      </w:pPr>
      <w:bookmarkStart w:id="87" w:name="逐月统计图"/>
      <w:bookmarkEnd w:id="87"/>
      <w:r>
        <w:drawing>
          <wp:inline distT="0" distB="0" distL="0" distR="0">
            <wp:extent cx="5667375" cy="31242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pPr>
        <w:pStyle w:val="3"/>
        <w:jc w:val="center"/>
        <w:rPr>
          <w:lang w:val="en-US"/>
        </w:rPr>
      </w:pPr>
      <w:r>
        <w:rPr>
          <w:rFonts w:hint="eastAsia"/>
          <w:lang w:val="en-US"/>
        </w:rPr>
        <w:t>动态采光逐月统计图</w:t>
      </w:r>
    </w:p>
    <w:p>
      <w:pPr>
        <w:pStyle w:val="3"/>
        <w:jc w:val="center"/>
        <w:rPr>
          <w:b/>
          <w:bCs/>
          <w:lang w:val="en-US"/>
        </w:rPr>
      </w:pPr>
    </w:p>
    <w:p>
      <w:pPr>
        <w:pStyle w:val="2"/>
        <w:rPr>
          <w:rFonts w:ascii="微软雅黑" w:hAnsi="微软雅黑"/>
        </w:rPr>
      </w:pPr>
      <w:bookmarkStart w:id="88" w:name="_Toc28476"/>
      <w:r>
        <w:rPr>
          <w:rFonts w:hint="eastAsia" w:ascii="微软雅黑" w:hAnsi="微软雅黑"/>
        </w:rPr>
        <w:t>评价结论</w:t>
      </w:r>
      <w:bookmarkEnd w:id="88"/>
    </w:p>
    <w:p>
      <w:pPr>
        <w:pStyle w:val="3"/>
        <w:ind w:firstLine="420" w:firstLineChars="200"/>
      </w:pPr>
      <w:r>
        <w:t>《绿色建筑评价标准》GB/T 50378-2019的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170"/>
        <w:gridCol w:w="2169"/>
        <w:gridCol w:w="2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pPr>
              <w:pStyle w:val="3"/>
              <w:jc w:val="center"/>
            </w:pPr>
            <w:r>
              <w:t>采光总面积（</w:t>
            </w:r>
            <w:r>
              <w:rPr>
                <w:rFonts w:hint="eastAsia"/>
              </w:rPr>
              <w:t>m</w:t>
            </w:r>
            <w:r>
              <w:rPr>
                <w:vertAlign w:val="superscript"/>
              </w:rPr>
              <w:t>2</w:t>
            </w:r>
            <w:r>
              <w:t>）</w:t>
            </w:r>
          </w:p>
        </w:tc>
        <w:tc>
          <w:tcPr>
            <w:tcW w:w="2170" w:type="dxa"/>
            <w:shd w:val="clear" w:color="auto" w:fill="E6E6E6"/>
            <w:vAlign w:val="center"/>
          </w:tcPr>
          <w:p>
            <w:pPr>
              <w:pStyle w:val="3"/>
              <w:jc w:val="center"/>
            </w:pPr>
            <w:r>
              <w:rPr>
                <w:rFonts w:hint="eastAsia"/>
              </w:rPr>
              <w:t>平均</w:t>
            </w:r>
            <w:r>
              <w:t>时数</w:t>
            </w:r>
            <w:r>
              <w:rPr>
                <w:rFonts w:hint="eastAsia"/>
              </w:rPr>
              <w:t>（h</w:t>
            </w:r>
            <w:r>
              <w:t>/d</w:t>
            </w:r>
            <w:r>
              <w:rPr>
                <w:rFonts w:hint="eastAsia"/>
              </w:rPr>
              <w:t>）</w:t>
            </w:r>
          </w:p>
        </w:tc>
        <w:tc>
          <w:tcPr>
            <w:tcW w:w="2169" w:type="dxa"/>
            <w:shd w:val="clear" w:color="auto" w:fill="E6E6E6"/>
            <w:vAlign w:val="center"/>
          </w:tcPr>
          <w:p>
            <w:pPr>
              <w:pStyle w:val="3"/>
              <w:jc w:val="center"/>
            </w:pPr>
            <w:r>
              <w:rPr>
                <w:rFonts w:hint="eastAsia"/>
              </w:rPr>
              <w:t>标准</w:t>
            </w:r>
            <w:r>
              <w:t>要求</w:t>
            </w:r>
            <w:r>
              <w:rPr>
                <w:rFonts w:hint="eastAsia"/>
              </w:rPr>
              <w:t>（h</w:t>
            </w:r>
            <w:r>
              <w:t>/d</w:t>
            </w:r>
            <w:r>
              <w:rPr>
                <w:rFonts w:hint="eastAsia"/>
              </w:rPr>
              <w:t>）</w:t>
            </w:r>
          </w:p>
        </w:tc>
        <w:tc>
          <w:tcPr>
            <w:tcW w:w="2170" w:type="dxa"/>
            <w:shd w:val="clear" w:color="auto" w:fill="E6E6E6"/>
            <w:vAlign w:val="center"/>
          </w:tcPr>
          <w:p>
            <w:pPr>
              <w:pStyle w:val="3"/>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pPr>
              <w:pStyle w:val="3"/>
              <w:jc w:val="center"/>
            </w:pPr>
            <w:bookmarkStart w:id="89" w:name="采光面积"/>
            <w:r>
              <w:t>4156.54</w:t>
            </w:r>
            <w:bookmarkEnd w:id="89"/>
          </w:p>
        </w:tc>
        <w:tc>
          <w:tcPr>
            <w:tcW w:w="2170" w:type="dxa"/>
            <w:vAlign w:val="center"/>
          </w:tcPr>
          <w:p>
            <w:pPr>
              <w:pStyle w:val="3"/>
              <w:jc w:val="center"/>
            </w:pPr>
            <w:bookmarkStart w:id="90" w:name="平均时数"/>
            <w:r>
              <w:t>8.8</w:t>
            </w:r>
            <w:bookmarkEnd w:id="90"/>
          </w:p>
        </w:tc>
        <w:tc>
          <w:tcPr>
            <w:tcW w:w="2169" w:type="dxa"/>
            <w:vAlign w:val="center"/>
          </w:tcPr>
          <w:p>
            <w:pPr>
              <w:pStyle w:val="3"/>
              <w:jc w:val="center"/>
            </w:pPr>
            <w:r>
              <w:t>8</w:t>
            </w:r>
          </w:p>
        </w:tc>
        <w:tc>
          <w:tcPr>
            <w:tcW w:w="2170" w:type="dxa"/>
            <w:vAlign w:val="center"/>
          </w:tcPr>
          <w:p>
            <w:pPr>
              <w:pStyle w:val="3"/>
              <w:jc w:val="center"/>
            </w:pPr>
            <w:bookmarkStart w:id="91" w:name="动态采光得分"/>
            <w:r>
              <w:t>9</w:t>
            </w:r>
            <w:bookmarkEnd w:id="91"/>
          </w:p>
        </w:tc>
      </w:tr>
    </w:tbl>
    <w:p>
      <w:pPr>
        <w:pStyle w:val="3"/>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7</w:t>
    </w:r>
    <w:r>
      <w:fldChar w:fldCharType="end"/>
    </w:r>
    <w:r>
      <w:tab/>
    </w:r>
    <w:r>
      <w:t>Dali2020</w:t>
    </w:r>
  </w:p>
  <w:p>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3">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36E912AC"/>
    <w:rsid w:val="65C2005B"/>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41"/>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uiPriority w:val="0"/>
    <w:pPr>
      <w:tabs>
        <w:tab w:val="center" w:pos="4153"/>
        <w:tab w:val="right" w:pos="8306"/>
      </w:tabs>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uiPriority w:val="99"/>
    <w:rPr>
      <w:color w:val="0000FF"/>
      <w:u w:val="single"/>
    </w:rPr>
  </w:style>
  <w:style w:type="character" w:styleId="29">
    <w:name w:val="annotation reference"/>
    <w:qFormat/>
    <w:uiPriority w:val="0"/>
    <w:rPr>
      <w:sz w:val="21"/>
      <w:szCs w:val="21"/>
    </w:rPr>
  </w:style>
  <w:style w:type="character" w:customStyle="1" w:styleId="30">
    <w:name w:val="正文文本缩进 Char"/>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Char"/>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Char"/>
    <w:link w:val="13"/>
    <w:qFormat/>
    <w:uiPriority w:val="0"/>
    <w:rPr>
      <w:sz w:val="18"/>
      <w:lang w:val="en-GB"/>
    </w:rPr>
  </w:style>
  <w:style w:type="character" w:customStyle="1" w:styleId="38">
    <w:name w:val="批注主题 Char"/>
    <w:link w:val="22"/>
    <w:qFormat/>
    <w:uiPriority w:val="0"/>
    <w:rPr>
      <w:b/>
      <w:bCs/>
      <w:sz w:val="18"/>
      <w:lang w:val="en-GB"/>
    </w:rPr>
  </w:style>
  <w:style w:type="character" w:customStyle="1" w:styleId="39">
    <w:name w:val="批注框文本 Char"/>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Char"/>
    <w:basedOn w:val="25"/>
    <w:link w:val="2"/>
    <w:qFormat/>
    <w:uiPriority w:val="0"/>
    <w:rPr>
      <w:rFonts w:eastAsia="微软雅黑"/>
      <w:b/>
      <w:bCs/>
      <w:kern w:val="32"/>
      <w:sz w:val="28"/>
      <w:szCs w:val="28"/>
    </w:rPr>
  </w:style>
  <w:style w:type="character" w:customStyle="1" w:styleId="42">
    <w:name w:val="标题 3 Char"/>
    <w:basedOn w:val="25"/>
    <w:link w:val="5"/>
    <w:qFormat/>
    <w:uiPriority w:val="0"/>
    <w:rPr>
      <w:rFonts w:ascii="微软雅黑" w:hAnsi="微软雅黑" w:eastAsia="微软雅黑" w:cs="Arial"/>
      <w:b/>
      <w:bCs/>
      <w:sz w:val="21"/>
      <w:szCs w:val="21"/>
    </w:rPr>
  </w:style>
  <w:style w:type="character" w:customStyle="1" w:styleId="43">
    <w:name w:val="标题 Char"/>
    <w:basedOn w:val="25"/>
    <w:link w:val="21"/>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1727F3-CA48-4DC4-8A2A-F0741D697A1A}">
  <ds:schemaRefs/>
</ds:datastoreItem>
</file>

<file path=docProps/app.xml><?xml version="1.0" encoding="utf-8"?>
<Properties xmlns="http://schemas.openxmlformats.org/officeDocument/2006/extended-properties" xmlns:vt="http://schemas.openxmlformats.org/officeDocument/2006/docPropsVTypes">
  <Template>住宅平均照度达标率计算书.dotx</Template>
  <Pages>7</Pages>
  <Words>777</Words>
  <Characters>4435</Characters>
  <Lines>36</Lines>
  <Paragraphs>10</Paragraphs>
  <TotalTime>0</TotalTime>
  <ScaleCrop>false</ScaleCrop>
  <LinksUpToDate>false</LinksUpToDate>
  <CharactersWithSpaces>5202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2020-08-26T09:17:00Z</dcterms:created>
  <dc:creator>ybx</dc:creator>
  <cp:lastModifiedBy>SAS-Sniper</cp:lastModifiedBy>
  <cp:lastPrinted>2411-12-31T16:00:00Z</cp:lastPrinted>
  <dcterms:modified xsi:type="dcterms:W3CDTF">2022-01-02T09:17:22Z</dcterms:modified>
  <dc:title>住宅动态采光达标率计算书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C230ED8795EB448DA8FE8BA127BA5CDD</vt:lpwstr>
  </property>
</Properties>
</file>