
<file path=[Content_Types].xml><?xml version="1.0" encoding="utf-8"?>
<Types xmlns="http://schemas.openxmlformats.org/package/2006/content-types">
  <Default Extension="xml" ContentType="application/xml"/>
  <Default Extension="png" ContentType="image/png"/>
  <Default Extension="bmp" ContentType="image/bmp"/>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综合能耗节能率计算书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1800" w:type="dxa"/>
            <w:tcBorders>
              <w:top w:val="single" w:color="auto" w:sz="12" w:space="0"/>
              <w:bottom w:val="single" w:color="auto" w:sz="6" w:space="0"/>
            </w:tcBorders>
            <w:shd w:val="clear" w:color="auto" w:fill="E6E6E6"/>
            <w:vAlign w:val="center"/>
          </w:tcPr>
          <w:p>
            <w:pPr>
              <w:pStyle w:val="16"/>
              <w:pBdr>
                <w:bottom w:val="none" w:color="auto" w:sz="0" w:space="0"/>
              </w:pBdr>
              <w:tabs>
                <w:tab w:val="clear" w:pos="4153"/>
                <w:tab w:val="clear" w:pos="8306"/>
              </w:tabs>
              <w:snapToGrid/>
              <w:jc w:val="both"/>
              <w:rPr>
                <w:rFonts w:ascii="宋体" w:hAnsi="宋体"/>
              </w:rPr>
            </w:pPr>
            <w:bookmarkStart w:id="1" w:name="项目名称"/>
            <w:bookmarkStart w:id="2" w:name="地理位置"/>
            <w:bookmarkStart w:id="3" w:name="设计编号"/>
            <w:bookmarkStart w:id="4" w:name="建设单位"/>
            <w:bookmarkStart w:id="5" w:name="设计单位"/>
            <w:bookmarkStart w:id="6" w:name="报告日期"/>
            <w:r>
              <w:rPr>
                <w:rFonts w:hint="eastAsia" w:ascii="宋体" w:hAnsi="宋体"/>
              </w:rPr>
              <w:t>工程名称</w:t>
            </w:r>
          </w:p>
        </w:tc>
        <w:tc>
          <w:tcPr>
            <w:tcW w:w="3780" w:type="dxa"/>
            <w:vAlign w:val="center"/>
          </w:tcPr>
          <w:p>
            <w:pPr>
              <w:pStyle w:val="3"/>
              <w:ind w:firstLine="0" w:firstLineChars="0"/>
              <w:rPr>
                <w:rFonts w:ascii="宋体" w:hAnsi="宋体"/>
                <w:szCs w:val="18"/>
              </w:rPr>
            </w:pPr>
            <w:r>
              <w:rPr>
                <w:rFonts w:hint="eastAsia" w:ascii="宋体" w:hAnsi="宋体"/>
                <w:szCs w:val="18"/>
              </w:rPr>
              <w:t>“旧枝新绿”人才专项用房项目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工程类型</w:t>
            </w:r>
          </w:p>
        </w:tc>
        <w:tc>
          <w:tcPr>
            <w:tcW w:w="3780" w:type="dxa"/>
          </w:tcPr>
          <w:p>
            <w:pPr>
              <w:pStyle w:val="16"/>
              <w:pBdr>
                <w:bottom w:val="none" w:color="auto" w:sz="0" w:space="0"/>
              </w:pBdr>
              <w:tabs>
                <w:tab w:val="clear" w:pos="4153"/>
                <w:tab w:val="clear" w:pos="8306"/>
              </w:tabs>
              <w:snapToGrid/>
              <w:jc w:val="both"/>
              <w:rPr>
                <w:rFonts w:ascii="宋体" w:hAnsi="宋体"/>
              </w:rPr>
            </w:pPr>
            <w:bookmarkStart w:id="7" w:name="审核人"/>
            <w:bookmarkEnd w:id="7"/>
            <w:r>
              <w:rPr>
                <w:rFonts w:hint="eastAsia" w:ascii="宋体" w:hAnsi="宋体"/>
              </w:rPr>
              <w:t>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建筑类型</w:t>
            </w:r>
          </w:p>
        </w:tc>
        <w:tc>
          <w:tcPr>
            <w:tcW w:w="3780" w:type="dxa"/>
          </w:tcPr>
          <w:p>
            <w:pPr>
              <w:pStyle w:val="16"/>
              <w:pBdr>
                <w:bottom w:val="none" w:color="auto" w:sz="0" w:space="0"/>
              </w:pBdr>
              <w:tabs>
                <w:tab w:val="clear" w:pos="4153"/>
                <w:tab w:val="clear" w:pos="8306"/>
              </w:tabs>
              <w:snapToGrid/>
              <w:jc w:val="both"/>
              <w:rPr>
                <w:rFonts w:ascii="宋体" w:hAnsi="宋体"/>
              </w:rPr>
            </w:pPr>
            <w:bookmarkStart w:id="8" w:name="审定人"/>
            <w:bookmarkEnd w:id="8"/>
            <w:r>
              <w:rPr>
                <w:rFonts w:hint="eastAsia" w:ascii="宋体" w:hAnsi="宋体"/>
              </w:rPr>
              <w:t>钢筋混凝土建筑</w:t>
            </w:r>
          </w:p>
        </w:tc>
      </w:tr>
    </w:tbl>
    <w:p>
      <w:pPr>
        <w:rPr>
          <w:rFonts w:ascii="宋体" w:hAnsi="宋体"/>
          <w:lang w:val="en-US"/>
        </w:rPr>
      </w:pPr>
    </w:p>
    <w:p>
      <w:pPr>
        <w:rPr>
          <w:rFonts w:ascii="宋体" w:hAnsi="宋体"/>
          <w:lang w:val="en-US"/>
        </w:rPr>
      </w:pPr>
    </w:p>
    <w:p>
      <w:pPr>
        <w:jc w:val="center"/>
        <w:rPr>
          <w:rFonts w:ascii="宋体" w:hAnsi="宋体"/>
          <w:b/>
          <w:bCs/>
          <w:sz w:val="30"/>
          <w:szCs w:val="32"/>
        </w:rPr>
      </w:pPr>
      <w:bookmarkStart w:id="9" w:name="二维码"/>
      <w:r>
        <w:drawing>
          <wp:inline distT="0" distB="0" distL="0" distR="0">
            <wp:extent cx="1514475" cy="15144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10"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11"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2" w:name="加密锁号"/>
            <w:r>
              <w:rPr>
                <w:rFonts w:hint="eastAsia" w:ascii="宋体" w:hAnsi="宋体"/>
                <w:szCs w:val="18"/>
              </w:rPr>
              <w:t xml:space="preserve">T18888916070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7"/>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3" w:name="目录"/>
      <w:r>
        <w:rPr>
          <w:rFonts w:ascii="宋体" w:hAnsi="宋体"/>
          <w:bCs w:val="0"/>
          <w:caps/>
        </w:rPr>
        <w:fldChar w:fldCharType="begin"/>
      </w:r>
      <w:r>
        <w:rPr>
          <w:rFonts w:ascii="宋体" w:hAnsi="宋体"/>
          <w:bCs w:val="0"/>
          <w:caps/>
        </w:rPr>
        <w:instrText xml:space="preserve"> HYPERLINK \l _Toc29420 </w:instrText>
      </w:r>
      <w:r>
        <w:rPr>
          <w:rFonts w:ascii="宋体" w:hAnsi="宋体"/>
          <w:bCs w:val="0"/>
          <w:caps/>
        </w:rPr>
        <w:fldChar w:fldCharType="separate"/>
      </w:r>
      <w:r>
        <w:rPr>
          <w:rFonts w:hint="eastAsia"/>
        </w:rPr>
        <w:t>1 建筑概况</w:t>
      </w:r>
      <w:r>
        <w:tab/>
      </w:r>
      <w:r>
        <w:fldChar w:fldCharType="begin"/>
      </w:r>
      <w:r>
        <w:instrText xml:space="preserve"> PAGEREF _Toc29420 \h </w:instrText>
      </w:r>
      <w:r>
        <w:fldChar w:fldCharType="separate"/>
      </w:r>
      <w:r>
        <w:t>4</w:t>
      </w:r>
      <w:r>
        <w:fldChar w:fldCharType="end"/>
      </w:r>
      <w:r>
        <w:rPr>
          <w:rFonts w:ascii="宋体" w:hAnsi="宋体"/>
          <w:bCs w:val="0"/>
          <w:caps/>
        </w:rPr>
        <w:fldChar w:fldCharType="end"/>
      </w:r>
    </w:p>
    <w:p>
      <w:pPr>
        <w:pStyle w:val="17"/>
        <w:tabs>
          <w:tab w:val="right" w:leader="dot" w:pos="9070"/>
          <w:tab w:val="clear" w:pos="180"/>
          <w:tab w:val="clear" w:pos="420"/>
          <w:tab w:val="clear" w:pos="9360"/>
        </w:tabs>
      </w:pPr>
      <w:r>
        <w:fldChar w:fldCharType="begin"/>
      </w:r>
      <w:r>
        <w:instrText xml:space="preserve"> HYPERLINK \l _Toc18391 </w:instrText>
      </w:r>
      <w:r>
        <w:fldChar w:fldCharType="separate"/>
      </w:r>
      <w:r>
        <w:rPr>
          <w:rFonts w:hint="eastAsia"/>
        </w:rPr>
        <w:t>2 计算依据</w:t>
      </w:r>
      <w:r>
        <w:tab/>
      </w:r>
      <w:r>
        <w:fldChar w:fldCharType="begin"/>
      </w:r>
      <w:r>
        <w:instrText xml:space="preserve"> PAGEREF _Toc18391 \h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_Toc27826 </w:instrText>
      </w:r>
      <w:r>
        <w:fldChar w:fldCharType="separate"/>
      </w:r>
      <w:r>
        <w:rPr>
          <w:rFonts w:hint="eastAsia"/>
        </w:rPr>
        <w:t>3 计算要求</w:t>
      </w:r>
      <w:r>
        <w:tab/>
      </w:r>
      <w:r>
        <w:fldChar w:fldCharType="begin"/>
      </w:r>
      <w:r>
        <w:instrText xml:space="preserve"> PAGEREF _Toc27826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_Toc24953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_Toc24953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_Toc11919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_Toc11919 \h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_Toc1211 </w:instrText>
      </w:r>
      <w:r>
        <w:fldChar w:fldCharType="separate"/>
      </w:r>
      <w:r>
        <w:rPr>
          <w:rFonts w:hint="eastAsia"/>
        </w:rPr>
        <w:t>4 气象数据</w:t>
      </w:r>
      <w:r>
        <w:tab/>
      </w:r>
      <w:r>
        <w:fldChar w:fldCharType="begin"/>
      </w:r>
      <w:r>
        <w:instrText xml:space="preserve"> PAGEREF _Toc1211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_Toc19171 </w:instrText>
      </w:r>
      <w:r>
        <w:fldChar w:fldCharType="separate"/>
      </w:r>
      <w:r>
        <w:rPr>
          <w:rFonts w:hint="eastAsia"/>
          <w:lang w:val="en-GB"/>
        </w:rPr>
        <w:t xml:space="preserve">4.1 </w:t>
      </w:r>
      <w:r>
        <w:rPr>
          <w:rFonts w:hint="eastAsia"/>
        </w:rPr>
        <w:t>气象地点</w:t>
      </w:r>
      <w:r>
        <w:tab/>
      </w:r>
      <w:r>
        <w:fldChar w:fldCharType="begin"/>
      </w:r>
      <w:r>
        <w:instrText xml:space="preserve"> PAGEREF _Toc19171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_Toc23441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_Toc23441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_Toc2178 </w:instrText>
      </w:r>
      <w:r>
        <w:fldChar w:fldCharType="separate"/>
      </w:r>
      <w:r>
        <w:rPr>
          <w:rFonts w:hint="eastAsia"/>
          <w:lang w:val="en-GB"/>
        </w:rPr>
        <w:t xml:space="preserve">4.3 </w:t>
      </w:r>
      <w:r>
        <w:rPr>
          <w:rFonts w:hint="eastAsia"/>
        </w:rPr>
        <w:t>逐月辐照量表</w:t>
      </w:r>
      <w:r>
        <w:tab/>
      </w:r>
      <w:r>
        <w:fldChar w:fldCharType="begin"/>
      </w:r>
      <w:r>
        <w:instrText xml:space="preserve"> PAGEREF _Toc2178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_Toc2930 </w:instrText>
      </w:r>
      <w:r>
        <w:fldChar w:fldCharType="separate"/>
      </w:r>
      <w:r>
        <w:rPr>
          <w:rFonts w:hint="eastAsia"/>
          <w:lang w:val="en-GB"/>
        </w:rPr>
        <w:t xml:space="preserve">4.4 </w:t>
      </w:r>
      <w:r>
        <w:rPr>
          <w:rFonts w:hint="eastAsia"/>
        </w:rPr>
        <w:t>峰值工况</w:t>
      </w:r>
      <w:r>
        <w:tab/>
      </w:r>
      <w:r>
        <w:fldChar w:fldCharType="begin"/>
      </w:r>
      <w:r>
        <w:instrText xml:space="preserve"> PAGEREF _Toc2930 \h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_Toc12619 </w:instrText>
      </w:r>
      <w:r>
        <w:fldChar w:fldCharType="separate"/>
      </w:r>
      <w:r>
        <w:rPr>
          <w:rFonts w:hint="eastAsia"/>
        </w:rPr>
        <w:t xml:space="preserve">5 </w:t>
      </w:r>
      <w:r>
        <w:t>围护结构</w:t>
      </w:r>
      <w:r>
        <w:tab/>
      </w:r>
      <w:r>
        <w:fldChar w:fldCharType="begin"/>
      </w:r>
      <w:r>
        <w:instrText xml:space="preserve"> PAGEREF _Toc12619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_Toc4084 </w:instrText>
      </w:r>
      <w:r>
        <w:fldChar w:fldCharType="separate"/>
      </w:r>
      <w:r>
        <w:rPr>
          <w:rFonts w:hint="eastAsia"/>
          <w:lang w:val="en-GB"/>
        </w:rPr>
        <w:t xml:space="preserve">5.1 </w:t>
      </w:r>
      <w:r>
        <w:t>工程材料</w:t>
      </w:r>
      <w:r>
        <w:tab/>
      </w:r>
      <w:r>
        <w:fldChar w:fldCharType="begin"/>
      </w:r>
      <w:r>
        <w:instrText xml:space="preserve"> PAGEREF _Toc4084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_Toc11980 </w:instrText>
      </w:r>
      <w:r>
        <w:fldChar w:fldCharType="separate"/>
      </w:r>
      <w:r>
        <w:rPr>
          <w:rFonts w:hint="eastAsia"/>
          <w:lang w:val="en-GB"/>
        </w:rPr>
        <w:t xml:space="preserve">5.2 </w:t>
      </w:r>
      <w:r>
        <w:t>体形系数</w:t>
      </w:r>
      <w:r>
        <w:tab/>
      </w:r>
      <w:r>
        <w:fldChar w:fldCharType="begin"/>
      </w:r>
      <w:r>
        <w:instrText xml:space="preserve"> PAGEREF _Toc11980 \h </w:instrText>
      </w:r>
      <w:r>
        <w:fldChar w:fldCharType="separate"/>
      </w:r>
      <w:r>
        <w:t>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_Toc24442 </w:instrText>
      </w:r>
      <w:r>
        <w:fldChar w:fldCharType="separate"/>
      </w:r>
      <w:r>
        <w:rPr>
          <w:rFonts w:hint="eastAsia"/>
          <w:lang w:val="en-GB"/>
        </w:rPr>
        <w:t xml:space="preserve">5.3 </w:t>
      </w:r>
      <w:r>
        <w:t>窗墙比</w:t>
      </w:r>
      <w:r>
        <w:tab/>
      </w:r>
      <w:r>
        <w:fldChar w:fldCharType="begin"/>
      </w:r>
      <w:r>
        <w:instrText xml:space="preserve"> PAGEREF _Toc24442 \h </w:instrText>
      </w:r>
      <w:r>
        <w:fldChar w:fldCharType="separate"/>
      </w:r>
      <w:r>
        <w:t>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_Toc11455 </w:instrText>
      </w:r>
      <w:r>
        <w:fldChar w:fldCharType="separate"/>
      </w:r>
      <w:r>
        <w:rPr>
          <w:rFonts w:hint="eastAsia" w:eastAsia="宋体"/>
          <w:szCs w:val="24"/>
          <w:lang w:val="en-GB"/>
        </w:rPr>
        <w:t xml:space="preserve">5.3.1 </w:t>
      </w:r>
      <w:r>
        <w:t>窗墙比</w:t>
      </w:r>
      <w:r>
        <w:tab/>
      </w:r>
      <w:r>
        <w:fldChar w:fldCharType="begin"/>
      </w:r>
      <w:r>
        <w:instrText xml:space="preserve"> PAGEREF _Toc11455 \h </w:instrText>
      </w:r>
      <w:r>
        <w:fldChar w:fldCharType="separate"/>
      </w:r>
      <w:r>
        <w:t>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_Toc21037 </w:instrText>
      </w:r>
      <w:r>
        <w:fldChar w:fldCharType="separate"/>
      </w:r>
      <w:r>
        <w:rPr>
          <w:rFonts w:hint="eastAsia"/>
          <w:lang w:val="en-GB"/>
        </w:rPr>
        <w:t xml:space="preserve">5.4 </w:t>
      </w:r>
      <w:r>
        <w:t>屋顶构造</w:t>
      </w:r>
      <w:r>
        <w:tab/>
      </w:r>
      <w:r>
        <w:fldChar w:fldCharType="begin"/>
      </w:r>
      <w:r>
        <w:instrText xml:space="preserve"> PAGEREF _Toc21037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_Toc30878 </w:instrText>
      </w:r>
      <w:r>
        <w:fldChar w:fldCharType="separate"/>
      </w:r>
      <w:r>
        <w:rPr>
          <w:rFonts w:hint="eastAsia" w:eastAsia="宋体"/>
          <w:szCs w:val="24"/>
          <w:lang w:val="en-GB"/>
        </w:rPr>
        <w:t xml:space="preserve">5.4.1 </w:t>
      </w:r>
      <w:r>
        <w:t>屋顶构造1</w:t>
      </w:r>
      <w:r>
        <w:tab/>
      </w:r>
      <w:r>
        <w:fldChar w:fldCharType="begin"/>
      </w:r>
      <w:r>
        <w:instrText xml:space="preserve"> PAGEREF _Toc30878 \h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_Toc17872 </w:instrText>
      </w:r>
      <w:r>
        <w:fldChar w:fldCharType="separate"/>
      </w:r>
      <w:r>
        <w:rPr>
          <w:rFonts w:hint="eastAsia"/>
          <w:lang w:val="en-GB"/>
        </w:rPr>
        <w:t xml:space="preserve">5.5 </w:t>
      </w:r>
      <w:r>
        <w:t>外墙构造</w:t>
      </w:r>
      <w:r>
        <w:tab/>
      </w:r>
      <w:r>
        <w:fldChar w:fldCharType="begin"/>
      </w:r>
      <w:r>
        <w:instrText xml:space="preserve"> PAGEREF _Toc17872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_Toc20126 </w:instrText>
      </w:r>
      <w:r>
        <w:fldChar w:fldCharType="separate"/>
      </w:r>
      <w:r>
        <w:rPr>
          <w:rFonts w:hint="eastAsia" w:eastAsia="宋体"/>
          <w:szCs w:val="24"/>
          <w:lang w:val="en-GB"/>
        </w:rPr>
        <w:t xml:space="preserve">5.5.1 </w:t>
      </w:r>
      <w:r>
        <w:t>外墙构造1</w:t>
      </w:r>
      <w:r>
        <w:tab/>
      </w:r>
      <w:r>
        <w:fldChar w:fldCharType="begin"/>
      </w:r>
      <w:r>
        <w:instrText xml:space="preserve"> PAGEREF _Toc20126 \h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_Toc3382 </w:instrText>
      </w:r>
      <w:r>
        <w:fldChar w:fldCharType="separate"/>
      </w:r>
      <w:r>
        <w:rPr>
          <w:rFonts w:hint="eastAsia"/>
          <w:lang w:val="en-GB"/>
        </w:rPr>
        <w:t xml:space="preserve">5.6 </w:t>
      </w:r>
      <w:r>
        <w:t>分户墙</w:t>
      </w:r>
      <w:r>
        <w:tab/>
      </w:r>
      <w:r>
        <w:fldChar w:fldCharType="begin"/>
      </w:r>
      <w:r>
        <w:instrText xml:space="preserve"> PAGEREF _Toc3382 \h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_Toc2008 </w:instrText>
      </w:r>
      <w:r>
        <w:fldChar w:fldCharType="separate"/>
      </w:r>
      <w:r>
        <w:rPr>
          <w:rFonts w:hint="eastAsia" w:eastAsia="宋体"/>
          <w:szCs w:val="24"/>
          <w:lang w:val="en-GB"/>
        </w:rPr>
        <w:t xml:space="preserve">5.6.1 </w:t>
      </w:r>
      <w:r>
        <w:t>户间隔墙构造一</w:t>
      </w:r>
      <w:r>
        <w:tab/>
      </w:r>
      <w:r>
        <w:fldChar w:fldCharType="begin"/>
      </w:r>
      <w:r>
        <w:instrText xml:space="preserve"> PAGEREF _Toc2008 \h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_Toc28769 </w:instrText>
      </w:r>
      <w:r>
        <w:fldChar w:fldCharType="separate"/>
      </w:r>
      <w:r>
        <w:rPr>
          <w:rFonts w:hint="eastAsia"/>
          <w:lang w:val="en-GB"/>
        </w:rPr>
        <w:t xml:space="preserve">5.7 </w:t>
      </w:r>
      <w:r>
        <w:t>楼梯间隔墙或封闭外走廊隔墙</w:t>
      </w:r>
      <w:r>
        <w:tab/>
      </w:r>
      <w:r>
        <w:fldChar w:fldCharType="begin"/>
      </w:r>
      <w:r>
        <w:instrText xml:space="preserve"> PAGEREF _Toc28769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_Toc31339 </w:instrText>
      </w:r>
      <w:r>
        <w:fldChar w:fldCharType="separate"/>
      </w:r>
      <w:r>
        <w:rPr>
          <w:rFonts w:hint="eastAsia" w:eastAsia="宋体"/>
          <w:szCs w:val="24"/>
          <w:lang w:val="en-GB"/>
        </w:rPr>
        <w:t xml:space="preserve">5.7.1 </w:t>
      </w:r>
      <w:r>
        <w:t>楼梯间隔墙</w:t>
      </w:r>
      <w:r>
        <w:tab/>
      </w:r>
      <w:r>
        <w:fldChar w:fldCharType="begin"/>
      </w:r>
      <w:r>
        <w:instrText xml:space="preserve"> PAGEREF _Toc31339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_Toc27278 </w:instrText>
      </w:r>
      <w:r>
        <w:fldChar w:fldCharType="separate"/>
      </w:r>
      <w:r>
        <w:rPr>
          <w:rFonts w:hint="eastAsia"/>
          <w:lang w:val="en-GB"/>
        </w:rPr>
        <w:t xml:space="preserve">5.8 </w:t>
      </w:r>
      <w:r>
        <w:t>架空或外挑楼板</w:t>
      </w:r>
      <w:r>
        <w:tab/>
      </w:r>
      <w:r>
        <w:fldChar w:fldCharType="begin"/>
      </w:r>
      <w:r>
        <w:instrText xml:space="preserve"> PAGEREF _Toc27278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_Toc9167 </w:instrText>
      </w:r>
      <w:r>
        <w:fldChar w:fldCharType="separate"/>
      </w:r>
      <w:r>
        <w:rPr>
          <w:rFonts w:hint="eastAsia"/>
          <w:lang w:val="en-GB"/>
        </w:rPr>
        <w:t xml:space="preserve">5.9 </w:t>
      </w:r>
      <w:r>
        <w:t>楼板</w:t>
      </w:r>
      <w:r>
        <w:tab/>
      </w:r>
      <w:r>
        <w:fldChar w:fldCharType="begin"/>
      </w:r>
      <w:r>
        <w:instrText xml:space="preserve"> PAGEREF _Toc9167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_Toc32193 </w:instrText>
      </w:r>
      <w:r>
        <w:fldChar w:fldCharType="separate"/>
      </w:r>
      <w:r>
        <w:rPr>
          <w:rFonts w:hint="eastAsia" w:eastAsia="宋体"/>
          <w:szCs w:val="24"/>
          <w:lang w:val="en-GB"/>
        </w:rPr>
        <w:t xml:space="preserve">5.9.1 </w:t>
      </w:r>
      <w:r>
        <w:t>控温房间楼板构造一</w:t>
      </w:r>
      <w:r>
        <w:tab/>
      </w:r>
      <w:r>
        <w:fldChar w:fldCharType="begin"/>
      </w:r>
      <w:r>
        <w:instrText xml:space="preserve"> PAGEREF _Toc32193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_Toc14011 </w:instrText>
      </w:r>
      <w:r>
        <w:fldChar w:fldCharType="separate"/>
      </w:r>
      <w:r>
        <w:rPr>
          <w:rFonts w:hint="eastAsia"/>
          <w:lang w:val="en-GB"/>
        </w:rPr>
        <w:t xml:space="preserve">5.10 </w:t>
      </w:r>
      <w:r>
        <w:t>通往封闭空间的户门</w:t>
      </w:r>
      <w:r>
        <w:tab/>
      </w:r>
      <w:r>
        <w:fldChar w:fldCharType="begin"/>
      </w:r>
      <w:r>
        <w:instrText xml:space="preserve"> PAGEREF _Toc14011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_Toc28555 </w:instrText>
      </w:r>
      <w:r>
        <w:fldChar w:fldCharType="separate"/>
      </w:r>
      <w:r>
        <w:rPr>
          <w:rFonts w:hint="eastAsia"/>
          <w:lang w:val="en-GB"/>
        </w:rPr>
        <w:t xml:space="preserve">5.11 </w:t>
      </w:r>
      <w:r>
        <w:t>通往非封闭空间或户外的户门</w:t>
      </w:r>
      <w:r>
        <w:tab/>
      </w:r>
      <w:r>
        <w:fldChar w:fldCharType="begin"/>
      </w:r>
      <w:r>
        <w:instrText xml:space="preserve"> PAGEREF _Toc28555 \h </w:instrText>
      </w:r>
      <w:r>
        <w:fldChar w:fldCharType="separate"/>
      </w:r>
      <w:r>
        <w:t>9</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_Toc12621 </w:instrText>
      </w:r>
      <w:r>
        <w:fldChar w:fldCharType="separate"/>
      </w:r>
      <w:r>
        <w:rPr>
          <w:rFonts w:hint="eastAsia"/>
          <w:lang w:val="en-GB"/>
        </w:rPr>
        <w:t xml:space="preserve">5.12 </w:t>
      </w:r>
      <w:r>
        <w:t>外窗热工</w:t>
      </w:r>
      <w:r>
        <w:tab/>
      </w:r>
      <w:r>
        <w:fldChar w:fldCharType="begin"/>
      </w:r>
      <w:r>
        <w:instrText xml:space="preserve"> PAGEREF _Toc12621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_Toc8479 </w:instrText>
      </w:r>
      <w:r>
        <w:fldChar w:fldCharType="separate"/>
      </w:r>
      <w:r>
        <w:rPr>
          <w:rFonts w:hint="eastAsia" w:eastAsia="宋体"/>
          <w:szCs w:val="24"/>
          <w:lang w:val="en-GB"/>
        </w:rPr>
        <w:t xml:space="preserve">5.12.1 </w:t>
      </w:r>
      <w:r>
        <w:t>外窗构造</w:t>
      </w:r>
      <w:r>
        <w:tab/>
      </w:r>
      <w:r>
        <w:fldChar w:fldCharType="begin"/>
      </w:r>
      <w:r>
        <w:instrText xml:space="preserve"> PAGEREF _Toc8479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_Toc1362 </w:instrText>
      </w:r>
      <w:r>
        <w:fldChar w:fldCharType="separate"/>
      </w:r>
      <w:r>
        <w:rPr>
          <w:rFonts w:hint="eastAsia" w:eastAsia="宋体"/>
          <w:szCs w:val="24"/>
          <w:lang w:val="en-GB"/>
        </w:rPr>
        <w:t xml:space="preserve">5.12.2 </w:t>
      </w:r>
      <w:r>
        <w:t>总体热工性能</w:t>
      </w:r>
      <w:r>
        <w:tab/>
      </w:r>
      <w:r>
        <w:fldChar w:fldCharType="begin"/>
      </w:r>
      <w:r>
        <w:instrText xml:space="preserve"> PAGEREF _Toc1362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_Toc1266 </w:instrText>
      </w:r>
      <w:r>
        <w:fldChar w:fldCharType="separate"/>
      </w:r>
      <w:r>
        <w:rPr>
          <w:rFonts w:hint="eastAsia" w:eastAsia="宋体"/>
          <w:szCs w:val="24"/>
          <w:lang w:val="en-GB"/>
        </w:rPr>
        <w:t xml:space="preserve">5.12.3 </w:t>
      </w:r>
      <w:r>
        <w:t>外遮阳类型</w:t>
      </w:r>
      <w:r>
        <w:tab/>
      </w:r>
      <w:r>
        <w:fldChar w:fldCharType="begin"/>
      </w:r>
      <w:r>
        <w:instrText xml:space="preserve"> PAGEREF _Toc1266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_Toc27610 </w:instrText>
      </w:r>
      <w:r>
        <w:fldChar w:fldCharType="separate"/>
      </w:r>
      <w:r>
        <w:rPr>
          <w:rFonts w:hint="eastAsia" w:eastAsia="宋体"/>
          <w:szCs w:val="24"/>
          <w:lang w:val="en-GB"/>
        </w:rPr>
        <w:t xml:space="preserve">5.12.4 </w:t>
      </w:r>
      <w:r>
        <w:t>平均遮阳系数</w:t>
      </w:r>
      <w:r>
        <w:tab/>
      </w:r>
      <w:r>
        <w:fldChar w:fldCharType="begin"/>
      </w:r>
      <w:r>
        <w:instrText xml:space="preserve"> PAGEREF _Toc27610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_Toc1657 </w:instrText>
      </w:r>
      <w:r>
        <w:fldChar w:fldCharType="separate"/>
      </w:r>
      <w:r>
        <w:rPr>
          <w:rFonts w:hint="eastAsia" w:eastAsia="宋体"/>
          <w:szCs w:val="24"/>
          <w:lang w:val="en-GB"/>
        </w:rPr>
        <w:t xml:space="preserve">5.12.5 </w:t>
      </w:r>
      <w:r>
        <w:t>外窗遮阳系数</w:t>
      </w:r>
      <w:r>
        <w:tab/>
      </w:r>
      <w:r>
        <w:fldChar w:fldCharType="begin"/>
      </w:r>
      <w:r>
        <w:instrText xml:space="preserve"> PAGEREF _Toc1657 \h </w:instrText>
      </w:r>
      <w:r>
        <w:fldChar w:fldCharType="separate"/>
      </w:r>
      <w:r>
        <w:t>11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_Toc1673 </w:instrText>
      </w:r>
      <w:r>
        <w:fldChar w:fldCharType="separate"/>
      </w:r>
      <w:r>
        <w:rPr>
          <w:rFonts w:hint="eastAsia"/>
          <w:lang w:val="en-GB"/>
        </w:rPr>
        <w:t xml:space="preserve">5.13 </w:t>
      </w:r>
      <w:r>
        <w:t>凸窗透明部分</w:t>
      </w:r>
      <w:r>
        <w:tab/>
      </w:r>
      <w:r>
        <w:fldChar w:fldCharType="begin"/>
      </w:r>
      <w:r>
        <w:instrText xml:space="preserve"> PAGEREF _Toc1673 \h </w:instrText>
      </w:r>
      <w:r>
        <w:fldChar w:fldCharType="separate"/>
      </w:r>
      <w:r>
        <w:t>11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_Toc7365 </w:instrText>
      </w:r>
      <w:r>
        <w:fldChar w:fldCharType="separate"/>
      </w:r>
      <w:r>
        <w:rPr>
          <w:rFonts w:hint="eastAsia"/>
          <w:lang w:val="en-GB"/>
        </w:rPr>
        <w:t xml:space="preserve">5.14 </w:t>
      </w:r>
      <w:r>
        <w:t>凸窗板</w:t>
      </w:r>
      <w:r>
        <w:tab/>
      </w:r>
      <w:r>
        <w:fldChar w:fldCharType="begin"/>
      </w:r>
      <w:r>
        <w:instrText xml:space="preserve"> PAGEREF _Toc7365 \h </w:instrText>
      </w:r>
      <w:r>
        <w:fldChar w:fldCharType="separate"/>
      </w:r>
      <w:r>
        <w:t>11</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_Toc17466 </w:instrText>
      </w:r>
      <w:r>
        <w:fldChar w:fldCharType="separate"/>
      </w:r>
      <w:r>
        <w:rPr>
          <w:rFonts w:hint="eastAsia"/>
        </w:rPr>
        <w:t xml:space="preserve">6 </w:t>
      </w:r>
      <w:r>
        <w:t>围护结构概况</w:t>
      </w:r>
      <w:r>
        <w:tab/>
      </w:r>
      <w:r>
        <w:fldChar w:fldCharType="begin"/>
      </w:r>
      <w:r>
        <w:instrText xml:space="preserve"> PAGEREF _Toc17466 \h </w:instrText>
      </w:r>
      <w:r>
        <w:fldChar w:fldCharType="separate"/>
      </w:r>
      <w:r>
        <w:t>11</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_Toc18188 </w:instrText>
      </w:r>
      <w:r>
        <w:fldChar w:fldCharType="separate"/>
      </w:r>
      <w:r>
        <w:rPr>
          <w:rFonts w:hint="eastAsia"/>
        </w:rPr>
        <w:t xml:space="preserve">7 </w:t>
      </w:r>
      <w:r>
        <w:t>设计建筑</w:t>
      </w:r>
      <w:r>
        <w:tab/>
      </w:r>
      <w:r>
        <w:fldChar w:fldCharType="begin"/>
      </w:r>
      <w:r>
        <w:instrText xml:space="preserve"> PAGEREF _Toc18188 \h </w:instrText>
      </w:r>
      <w:r>
        <w:fldChar w:fldCharType="separate"/>
      </w:r>
      <w:r>
        <w:t>12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_Toc27635 </w:instrText>
      </w:r>
      <w:r>
        <w:fldChar w:fldCharType="separate"/>
      </w:r>
      <w:r>
        <w:rPr>
          <w:rFonts w:hint="eastAsia"/>
          <w:lang w:val="en-GB"/>
        </w:rPr>
        <w:t xml:space="preserve">7.1 </w:t>
      </w:r>
      <w:r>
        <w:t>房间类型</w:t>
      </w:r>
      <w:r>
        <w:tab/>
      </w:r>
      <w:r>
        <w:fldChar w:fldCharType="begin"/>
      </w:r>
      <w:r>
        <w:instrText xml:space="preserve"> PAGEREF _Toc27635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_Toc27228 </w:instrText>
      </w:r>
      <w:r>
        <w:fldChar w:fldCharType="separate"/>
      </w:r>
      <w:r>
        <w:rPr>
          <w:rFonts w:hint="eastAsia" w:eastAsia="宋体"/>
          <w:szCs w:val="24"/>
          <w:lang w:val="en-GB"/>
        </w:rPr>
        <w:t xml:space="preserve">7.1.1 </w:t>
      </w:r>
      <w:r>
        <w:t>房间表</w:t>
      </w:r>
      <w:r>
        <w:tab/>
      </w:r>
      <w:r>
        <w:fldChar w:fldCharType="begin"/>
      </w:r>
      <w:r>
        <w:instrText xml:space="preserve"> PAGEREF _Toc27228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_Toc2103 </w:instrText>
      </w:r>
      <w:r>
        <w:fldChar w:fldCharType="separate"/>
      </w:r>
      <w:r>
        <w:rPr>
          <w:rFonts w:hint="eastAsia" w:eastAsia="宋体"/>
          <w:szCs w:val="24"/>
          <w:lang w:val="en-GB"/>
        </w:rPr>
        <w:t xml:space="preserve">7.1.2 </w:t>
      </w:r>
      <w:r>
        <w:t>作息时间表</w:t>
      </w:r>
      <w:r>
        <w:tab/>
      </w:r>
      <w:r>
        <w:fldChar w:fldCharType="begin"/>
      </w:r>
      <w:r>
        <w:instrText xml:space="preserve"> PAGEREF _Toc2103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_Toc527 </w:instrText>
      </w:r>
      <w:r>
        <w:fldChar w:fldCharType="separate"/>
      </w:r>
      <w:r>
        <w:rPr>
          <w:rFonts w:hint="eastAsia"/>
          <w:lang w:val="en-GB"/>
        </w:rPr>
        <w:t xml:space="preserve">7.2 </w:t>
      </w:r>
      <w:r>
        <w:t>系统类型</w:t>
      </w:r>
      <w:r>
        <w:tab/>
      </w:r>
      <w:r>
        <w:fldChar w:fldCharType="begin"/>
      </w:r>
      <w:r>
        <w:instrText xml:space="preserve"> PAGEREF _Toc527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_Toc32319 </w:instrText>
      </w:r>
      <w:r>
        <w:fldChar w:fldCharType="separate"/>
      </w:r>
      <w:r>
        <w:rPr>
          <w:rFonts w:hint="eastAsia"/>
          <w:lang w:val="en-GB"/>
        </w:rPr>
        <w:t xml:space="preserve">7.3 </w:t>
      </w:r>
      <w:r>
        <w:t>制冷系统</w:t>
      </w:r>
      <w:r>
        <w:tab/>
      </w:r>
      <w:r>
        <w:fldChar w:fldCharType="begin"/>
      </w:r>
      <w:r>
        <w:instrText xml:space="preserve"> PAGEREF _Toc32319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_Toc24759 </w:instrText>
      </w:r>
      <w:r>
        <w:fldChar w:fldCharType="separate"/>
      </w:r>
      <w:r>
        <w:rPr>
          <w:rFonts w:hint="eastAsia" w:eastAsia="宋体"/>
          <w:szCs w:val="24"/>
          <w:lang w:val="en-GB"/>
        </w:rPr>
        <w:t xml:space="preserve">7.3.1 </w:t>
      </w:r>
      <w:r>
        <w:t>多联机/单元式空调能耗</w:t>
      </w:r>
      <w:r>
        <w:tab/>
      </w:r>
      <w:r>
        <w:fldChar w:fldCharType="begin"/>
      </w:r>
      <w:r>
        <w:instrText xml:space="preserve"> PAGEREF _Toc24759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_Toc14241 </w:instrText>
      </w:r>
      <w:r>
        <w:fldChar w:fldCharType="separate"/>
      </w:r>
      <w:r>
        <w:rPr>
          <w:rFonts w:hint="eastAsia"/>
          <w:lang w:val="en-GB"/>
        </w:rPr>
        <w:t xml:space="preserve">7.4 </w:t>
      </w:r>
      <w:r>
        <w:t>供暖系统</w:t>
      </w:r>
      <w:r>
        <w:tab/>
      </w:r>
      <w:r>
        <w:fldChar w:fldCharType="begin"/>
      </w:r>
      <w:r>
        <w:instrText xml:space="preserve"> PAGEREF _Toc14241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_Toc28064 </w:instrText>
      </w:r>
      <w:r>
        <w:fldChar w:fldCharType="separate"/>
      </w:r>
      <w:r>
        <w:rPr>
          <w:rFonts w:hint="eastAsia" w:eastAsia="宋体"/>
          <w:szCs w:val="24"/>
          <w:lang w:val="en-GB"/>
        </w:rPr>
        <w:t xml:space="preserve">7.4.1 </w:t>
      </w:r>
      <w:r>
        <w:t>多联机/单元式热泵能耗</w:t>
      </w:r>
      <w:r>
        <w:tab/>
      </w:r>
      <w:r>
        <w:fldChar w:fldCharType="begin"/>
      </w:r>
      <w:r>
        <w:instrText xml:space="preserve"> PAGEREF _Toc28064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_Toc14944 </w:instrText>
      </w:r>
      <w:r>
        <w:fldChar w:fldCharType="separate"/>
      </w:r>
      <w:r>
        <w:rPr>
          <w:rFonts w:hint="eastAsia"/>
          <w:lang w:val="en-GB"/>
        </w:rPr>
        <w:t xml:space="preserve">7.5 </w:t>
      </w:r>
      <w:r>
        <w:t>负荷分项统计</w:t>
      </w:r>
      <w:r>
        <w:tab/>
      </w:r>
      <w:r>
        <w:fldChar w:fldCharType="begin"/>
      </w:r>
      <w:r>
        <w:instrText xml:space="preserve"> PAGEREF _Toc14944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_Toc27411 </w:instrText>
      </w:r>
      <w:r>
        <w:fldChar w:fldCharType="separate"/>
      </w:r>
      <w:r>
        <w:rPr>
          <w:rFonts w:hint="eastAsia"/>
          <w:lang w:val="en-GB"/>
        </w:rPr>
        <w:t xml:space="preserve">7.6 </w:t>
      </w:r>
      <w:r>
        <w:t>逐月电耗</w:t>
      </w:r>
      <w:r>
        <w:tab/>
      </w:r>
      <w:r>
        <w:fldChar w:fldCharType="begin"/>
      </w:r>
      <w:r>
        <w:instrText xml:space="preserve"> PAGEREF _Toc27411 \h </w:instrText>
      </w:r>
      <w:r>
        <w:fldChar w:fldCharType="separate"/>
      </w:r>
      <w:r>
        <w:t>13</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_Toc10898 </w:instrText>
      </w:r>
      <w:r>
        <w:fldChar w:fldCharType="separate"/>
      </w:r>
      <w:r>
        <w:rPr>
          <w:rFonts w:hint="eastAsia"/>
        </w:rPr>
        <w:t xml:space="preserve">8 </w:t>
      </w:r>
      <w:r>
        <w:t>参照建筑</w:t>
      </w:r>
      <w:r>
        <w:tab/>
      </w:r>
      <w:r>
        <w:fldChar w:fldCharType="begin"/>
      </w:r>
      <w:r>
        <w:instrText xml:space="preserve"> PAGEREF _Toc10898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_Toc29695 </w:instrText>
      </w:r>
      <w:r>
        <w:fldChar w:fldCharType="separate"/>
      </w:r>
      <w:r>
        <w:rPr>
          <w:rFonts w:hint="eastAsia"/>
          <w:lang w:val="en-GB"/>
        </w:rPr>
        <w:t xml:space="preserve">8.1 </w:t>
      </w:r>
      <w:r>
        <w:t>房间类型</w:t>
      </w:r>
      <w:r>
        <w:tab/>
      </w:r>
      <w:r>
        <w:fldChar w:fldCharType="begin"/>
      </w:r>
      <w:r>
        <w:instrText xml:space="preserve"> PAGEREF _Toc29695 \h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_Toc18924 </w:instrText>
      </w:r>
      <w:r>
        <w:fldChar w:fldCharType="separate"/>
      </w:r>
      <w:r>
        <w:rPr>
          <w:rFonts w:hint="eastAsia" w:eastAsia="宋体"/>
          <w:szCs w:val="24"/>
          <w:lang w:val="en-GB"/>
        </w:rPr>
        <w:t xml:space="preserve">8.1.1 </w:t>
      </w:r>
      <w:r>
        <w:t>房间表</w:t>
      </w:r>
      <w:r>
        <w:tab/>
      </w:r>
      <w:r>
        <w:fldChar w:fldCharType="begin"/>
      </w:r>
      <w:r>
        <w:instrText xml:space="preserve"> PAGEREF _Toc18924 \h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_Toc5051 </w:instrText>
      </w:r>
      <w:r>
        <w:fldChar w:fldCharType="separate"/>
      </w:r>
      <w:r>
        <w:rPr>
          <w:rFonts w:hint="eastAsia" w:eastAsia="宋体"/>
          <w:szCs w:val="24"/>
          <w:lang w:val="en-GB"/>
        </w:rPr>
        <w:t xml:space="preserve">8.1.2 </w:t>
      </w:r>
      <w:r>
        <w:t>作息时间表</w:t>
      </w:r>
      <w:r>
        <w:tab/>
      </w:r>
      <w:r>
        <w:fldChar w:fldCharType="begin"/>
      </w:r>
      <w:r>
        <w:instrText xml:space="preserve"> PAGEREF _Toc5051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_Toc27894 </w:instrText>
      </w:r>
      <w:r>
        <w:fldChar w:fldCharType="separate"/>
      </w:r>
      <w:r>
        <w:rPr>
          <w:rFonts w:hint="eastAsia"/>
          <w:lang w:val="en-GB"/>
        </w:rPr>
        <w:t xml:space="preserve">8.2 </w:t>
      </w:r>
      <w:r>
        <w:t>系统类型</w:t>
      </w:r>
      <w:r>
        <w:tab/>
      </w:r>
      <w:r>
        <w:fldChar w:fldCharType="begin"/>
      </w:r>
      <w:r>
        <w:instrText xml:space="preserve"> PAGEREF _Toc27894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_Toc12538 </w:instrText>
      </w:r>
      <w:r>
        <w:fldChar w:fldCharType="separate"/>
      </w:r>
      <w:r>
        <w:rPr>
          <w:rFonts w:hint="eastAsia"/>
          <w:lang w:val="en-GB"/>
        </w:rPr>
        <w:t xml:space="preserve">8.3 </w:t>
      </w:r>
      <w:r>
        <w:t>制冷系统</w:t>
      </w:r>
      <w:r>
        <w:tab/>
      </w:r>
      <w:r>
        <w:fldChar w:fldCharType="begin"/>
      </w:r>
      <w:r>
        <w:instrText xml:space="preserve"> PAGEREF _Toc12538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_Toc23234 </w:instrText>
      </w:r>
      <w:r>
        <w:fldChar w:fldCharType="separate"/>
      </w:r>
      <w:r>
        <w:rPr>
          <w:rFonts w:hint="eastAsia"/>
          <w:lang w:val="en-GB"/>
        </w:rPr>
        <w:t xml:space="preserve">8.4 </w:t>
      </w:r>
      <w:r>
        <w:t>供暖系统</w:t>
      </w:r>
      <w:r>
        <w:tab/>
      </w:r>
      <w:r>
        <w:fldChar w:fldCharType="begin"/>
      </w:r>
      <w:r>
        <w:instrText xml:space="preserve"> PAGEREF _Toc23234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_Toc3361 </w:instrText>
      </w:r>
      <w:r>
        <w:fldChar w:fldCharType="separate"/>
      </w:r>
      <w:r>
        <w:rPr>
          <w:rFonts w:hint="eastAsia"/>
          <w:lang w:val="en-GB"/>
        </w:rPr>
        <w:t xml:space="preserve">8.5 </w:t>
      </w:r>
      <w:r>
        <w:t>负荷分项统计</w:t>
      </w:r>
      <w:r>
        <w:tab/>
      </w:r>
      <w:r>
        <w:fldChar w:fldCharType="begin"/>
      </w:r>
      <w:r>
        <w:instrText xml:space="preserve"> PAGEREF _Toc3361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_Toc29515 </w:instrText>
      </w:r>
      <w:r>
        <w:fldChar w:fldCharType="separate"/>
      </w:r>
      <w:r>
        <w:rPr>
          <w:rFonts w:hint="eastAsia"/>
          <w:lang w:val="en-GB"/>
        </w:rPr>
        <w:t xml:space="preserve">8.6 </w:t>
      </w:r>
      <w:r>
        <w:t>逐月电耗</w:t>
      </w:r>
      <w:r>
        <w:tab/>
      </w:r>
      <w:r>
        <w:fldChar w:fldCharType="begin"/>
      </w:r>
      <w:r>
        <w:instrText xml:space="preserve"> PAGEREF _Toc29515 \h </w:instrText>
      </w:r>
      <w:r>
        <w:fldChar w:fldCharType="separate"/>
      </w:r>
      <w:r>
        <w:t>15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_Toc25512 </w:instrText>
      </w:r>
      <w:r>
        <w:fldChar w:fldCharType="separate"/>
      </w:r>
      <w:r>
        <w:rPr>
          <w:rFonts w:hint="eastAsia"/>
        </w:rPr>
        <w:t xml:space="preserve">9 </w:t>
      </w:r>
      <w:r>
        <w:t>计算结果</w:t>
      </w:r>
      <w:r>
        <w:tab/>
      </w:r>
      <w:r>
        <w:fldChar w:fldCharType="begin"/>
      </w:r>
      <w:r>
        <w:instrText xml:space="preserve"> PAGEREF _Toc25512 \h </w:instrText>
      </w:r>
      <w:r>
        <w:fldChar w:fldCharType="separate"/>
      </w:r>
      <w:r>
        <w:t>15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_Toc6640 </w:instrText>
      </w:r>
      <w:r>
        <w:fldChar w:fldCharType="separate"/>
      </w:r>
      <w:r>
        <w:rPr>
          <w:rFonts w:hint="eastAsia"/>
        </w:rPr>
        <w:t xml:space="preserve">10 </w:t>
      </w:r>
      <w:r>
        <w:t>绿色建筑性能评估得分</w:t>
      </w:r>
      <w:r>
        <w:tab/>
      </w:r>
      <w:r>
        <w:fldChar w:fldCharType="begin"/>
      </w:r>
      <w:r>
        <w:instrText xml:space="preserve"> PAGEREF _Toc6640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_Toc20781 </w:instrText>
      </w:r>
      <w:r>
        <w:fldChar w:fldCharType="separate"/>
      </w:r>
      <w:r>
        <w:rPr>
          <w:rFonts w:hint="eastAsia"/>
          <w:lang w:val="en-GB"/>
        </w:rPr>
        <w:t xml:space="preserve">10.1 </w:t>
      </w:r>
      <w:r>
        <w:t>降低建筑能耗</w:t>
      </w:r>
      <w:r>
        <w:tab/>
      </w:r>
      <w:r>
        <w:fldChar w:fldCharType="begin"/>
      </w:r>
      <w:r>
        <w:instrText xml:space="preserve"> PAGEREF _Toc20781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_Toc3238 </w:instrText>
      </w:r>
      <w:r>
        <w:fldChar w:fldCharType="separate"/>
      </w:r>
      <w:r>
        <w:rPr>
          <w:rFonts w:hint="eastAsia"/>
          <w:lang w:val="en-GB"/>
        </w:rPr>
        <w:t xml:space="preserve">10.2 </w:t>
      </w:r>
      <w:r>
        <w:t>降低建筑供暖空调系统能耗</w:t>
      </w:r>
      <w:r>
        <w:tab/>
      </w:r>
      <w:r>
        <w:fldChar w:fldCharType="begin"/>
      </w:r>
      <w:r>
        <w:instrText xml:space="preserve"> PAGEREF _Toc3238 \h </w:instrText>
      </w:r>
      <w:r>
        <w:fldChar w:fldCharType="separate"/>
      </w:r>
      <w:r>
        <w:t>16</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_Toc10330 </w:instrText>
      </w:r>
      <w:r>
        <w:fldChar w:fldCharType="separate"/>
      </w:r>
      <w:r>
        <w:rPr>
          <w:rFonts w:hint="eastAsia"/>
        </w:rPr>
        <w:t xml:space="preserve">11 </w:t>
      </w:r>
      <w:r>
        <w:t>附录</w:t>
      </w:r>
      <w:r>
        <w:tab/>
      </w:r>
      <w:r>
        <w:fldChar w:fldCharType="begin"/>
      </w:r>
      <w:r>
        <w:instrText xml:space="preserve"> PAGEREF _Toc10330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_Toc21972 </w:instrText>
      </w:r>
      <w:r>
        <w:fldChar w:fldCharType="separate"/>
      </w:r>
      <w:r>
        <w:rPr>
          <w:rFonts w:hint="eastAsia"/>
          <w:lang w:val="en-GB"/>
        </w:rPr>
        <w:t xml:space="preserve">11.1 </w:t>
      </w:r>
      <w:r>
        <w:t>工作日/节假日人员逐时在室率(%)</w:t>
      </w:r>
      <w:r>
        <w:tab/>
      </w:r>
      <w:r>
        <w:fldChar w:fldCharType="begin"/>
      </w:r>
      <w:r>
        <w:instrText xml:space="preserve"> PAGEREF _Toc21972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_Toc19157 </w:instrText>
      </w:r>
      <w:r>
        <w:fldChar w:fldCharType="separate"/>
      </w:r>
      <w:r>
        <w:rPr>
          <w:rFonts w:hint="eastAsia"/>
          <w:lang w:val="en-GB"/>
        </w:rPr>
        <w:t xml:space="preserve">11.2 </w:t>
      </w:r>
      <w:r>
        <w:t>工作日/节假日照明开关时间表(%)</w:t>
      </w:r>
      <w:r>
        <w:tab/>
      </w:r>
      <w:r>
        <w:fldChar w:fldCharType="begin"/>
      </w:r>
      <w:r>
        <w:instrText xml:space="preserve"> PAGEREF _Toc19157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_Toc13815 </w:instrText>
      </w:r>
      <w:r>
        <w:fldChar w:fldCharType="separate"/>
      </w:r>
      <w:r>
        <w:rPr>
          <w:rFonts w:hint="eastAsia"/>
          <w:lang w:val="en-GB"/>
        </w:rPr>
        <w:t xml:space="preserve">11.3 </w:t>
      </w:r>
      <w:r>
        <w:t>工作日/节假日设备逐时使用率(%)</w:t>
      </w:r>
      <w:r>
        <w:tab/>
      </w:r>
      <w:r>
        <w:fldChar w:fldCharType="begin"/>
      </w:r>
      <w:r>
        <w:instrText xml:space="preserve"> PAGEREF _Toc13815 \h </w:instrText>
      </w:r>
      <w:r>
        <w:fldChar w:fldCharType="separate"/>
      </w:r>
      <w:r>
        <w:t>18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_Toc3791 </w:instrText>
      </w:r>
      <w:r>
        <w:fldChar w:fldCharType="separate"/>
      </w:r>
      <w:r>
        <w:rPr>
          <w:rFonts w:hint="eastAsia"/>
          <w:lang w:val="en-GB"/>
        </w:rPr>
        <w:t xml:space="preserve">11.4 </w:t>
      </w:r>
      <w:r>
        <w:t>工作日/节假日空调系统运行时间表(1:开,0:关)</w:t>
      </w:r>
      <w:r>
        <w:tab/>
      </w:r>
      <w:r>
        <w:fldChar w:fldCharType="begin"/>
      </w:r>
      <w:r>
        <w:instrText xml:space="preserve"> PAGEREF _Toc3791 \h </w:instrText>
      </w:r>
      <w:r>
        <w:fldChar w:fldCharType="separate"/>
      </w:r>
      <w:r>
        <w:t>18</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4" w:name="_Toc29420"/>
      <w:r>
        <w:rPr>
          <w:rFonts w:hint="eastAsia"/>
        </w:rPr>
        <w:t>建筑概况</w:t>
      </w:r>
      <w:bookmarkEnd w:id="14"/>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5" w:name="工程名称"/>
            <w:r>
              <w:t>“旧枝新绿”人才专项用房项目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6" w:name="工程地点"/>
            <w:r>
              <w:t>浙江-杭州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7" w:name="纬度"/>
            <w:r>
              <w:rPr>
                <w:rFonts w:hint="eastAsia" w:ascii="宋体" w:hAnsi="宋体"/>
                <w:lang w:val="en-US"/>
              </w:rPr>
              <w:t>30.23°</w:t>
            </w:r>
          </w:p>
        </w:tc>
        <w:tc>
          <w:tcPr>
            <w:tcW w:w="3116" w:type="dxa"/>
          </w:tcPr>
          <w:p>
            <w:pPr>
              <w:pStyle w:val="3"/>
              <w:ind w:firstLine="0" w:firstLineChars="0"/>
              <w:rPr>
                <w:rFonts w:ascii="宋体" w:hAnsi="宋体"/>
                <w:lang w:val="en-US"/>
              </w:rPr>
            </w:pPr>
            <w:r>
              <w:rPr>
                <w:rFonts w:hint="eastAsia" w:ascii="宋体" w:hAnsi="宋体"/>
                <w:lang w:val="en-US"/>
              </w:rPr>
              <w:t>东经：</w:t>
            </w:r>
            <w:bookmarkStart w:id="18" w:name="经度"/>
            <w:r>
              <w:rPr>
                <w:rFonts w:hint="eastAsia" w:ascii="宋体" w:hAnsi="宋体"/>
                <w:lang w:val="en-US"/>
              </w:rPr>
              <w:t>120.17°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面积"/>
            <w:r>
              <w:rPr>
                <w:rFonts w:hint="eastAsia" w:ascii="宋体" w:hAnsi="宋体"/>
                <w:lang w:val="en-US"/>
              </w:rPr>
              <w:t>1194    地下</w:t>
            </w:r>
            <w:bookmarkStart w:id="20"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层数"/>
            <w:r>
              <w:rPr>
                <w:rFonts w:hint="eastAsia" w:ascii="宋体" w:hAnsi="宋体"/>
                <w:lang w:val="en-US"/>
              </w:rPr>
              <w:t>6          地下</w:t>
            </w:r>
            <w:bookmarkStart w:id="22"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3" w:name="地上建筑高度"/>
            <w:r>
              <w:rPr>
                <w:rFonts w:hint="eastAsia" w:ascii="宋体" w:hAnsi="宋体"/>
                <w:lang w:val="en-US"/>
              </w:rPr>
              <w:t>18.0     地下</w:t>
            </w:r>
            <w:bookmarkStart w:id="24"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5" w:name="建筑体积"/>
            <w:r>
              <w:t>3581.90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6" w:name="外表面积"/>
            <w:r>
              <w:t>1428.89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7"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hint="default" w:ascii="宋体" w:hAnsi="宋体" w:eastAsia="宋体"/>
                <w:lang w:val="en-US" w:eastAsia="zh-CN"/>
              </w:rPr>
            </w:pPr>
            <w:bookmarkStart w:id="28" w:name="结构类型"/>
            <w:r>
              <w:rPr>
                <w:rFonts w:hint="eastAsia" w:ascii="宋体" w:hAnsi="宋体"/>
                <w:lang w:val="en-US" w:eastAsia="zh-CN"/>
              </w:rPr>
              <w:t>钢筋混凝土结构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9" w:name="外墙ρ"/>
            <w:r>
              <w:rPr>
                <w:rFonts w:hint="eastAsia"/>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30" w:name="屋顶ρ"/>
            <w:r>
              <w:rPr>
                <w:rFonts w:hint="eastAsia"/>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31" w:name="控温期"/>
            <w:r>
              <w:t>全年控温</w:t>
            </w:r>
          </w:p>
        </w:tc>
      </w:tr>
    </w:tbl>
    <w:p>
      <w:pPr>
        <w:pStyle w:val="3"/>
        <w:ind w:firstLine="0" w:firstLineChars="0"/>
        <w:rPr>
          <w:lang w:val="en-US"/>
        </w:rPr>
      </w:pPr>
      <w:bookmarkStart w:id="32" w:name="TitleFormat"/>
    </w:p>
    <w:p>
      <w:pPr>
        <w:pStyle w:val="3"/>
        <w:ind w:firstLine="0" w:firstLineChars="0"/>
        <w:rPr>
          <w:lang w:val="en-US"/>
        </w:rPr>
      </w:pPr>
    </w:p>
    <w:p>
      <w:pPr>
        <w:pStyle w:val="2"/>
      </w:pPr>
      <w:bookmarkStart w:id="33" w:name="_Toc18391"/>
      <w:r>
        <w:rPr>
          <w:rFonts w:hint="eastAsia"/>
        </w:rPr>
        <w:t>计算依据</w:t>
      </w:r>
      <w:bookmarkEnd w:id="33"/>
    </w:p>
    <w:p>
      <w:pPr>
        <w:widowControl w:val="0"/>
        <w:jc w:val="both"/>
        <w:rPr>
          <w:kern w:val="2"/>
          <w:szCs w:val="24"/>
          <w:lang w:val="en-US"/>
        </w:rPr>
      </w:pPr>
      <w:bookmarkStart w:id="34" w:name="计算依据"/>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《夏热冬冷地区居住建筑节能设计标准》（JGJ 134-2010）</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5" w:name="_Toc27826"/>
      <w:bookmarkStart w:id="36" w:name="_Toc31856"/>
      <w:bookmarkStart w:id="37" w:name="_Toc25351"/>
      <w:r>
        <w:rPr>
          <w:rFonts w:hint="eastAsia"/>
        </w:rPr>
        <w:t>计算要求</w:t>
      </w:r>
      <w:bookmarkEnd w:id="35"/>
    </w:p>
    <w:p>
      <w:pPr>
        <w:pStyle w:val="4"/>
        <w:tabs>
          <w:tab w:val="clear" w:pos="578"/>
        </w:tabs>
        <w:rPr>
          <w:kern w:val="2"/>
          <w:sz w:val="21"/>
        </w:rPr>
      </w:pPr>
      <w:bookmarkStart w:id="38" w:name="_Toc24953"/>
      <w:bookmarkStart w:id="39" w:name="_Toc3445"/>
      <w:bookmarkStart w:id="40" w:name="_Toc20530"/>
      <w:r>
        <w:rPr>
          <w:rFonts w:hint="eastAsia"/>
          <w:kern w:val="2"/>
          <w:sz w:val="21"/>
        </w:rPr>
        <w:t>计算目标</w:t>
      </w:r>
      <w:bookmarkEnd w:id="38"/>
    </w:p>
    <w:p>
      <w:pPr>
        <w:spacing w:line="360" w:lineRule="auto"/>
        <w:ind w:firstLine="420" w:firstLineChars="200"/>
        <w:rPr>
          <w:kern w:val="2"/>
          <w:szCs w:val="24"/>
          <w:lang w:val="en-US"/>
        </w:rPr>
      </w:pPr>
      <w:bookmarkStart w:id="41" w:name="_Toc30695"/>
      <w:bookmarkStart w:id="42"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pPr>
        <w:pStyle w:val="4"/>
        <w:tabs>
          <w:tab w:val="clear" w:pos="578"/>
        </w:tabs>
        <w:rPr>
          <w:kern w:val="2"/>
          <w:sz w:val="21"/>
        </w:rPr>
      </w:pPr>
      <w:bookmarkStart w:id="43" w:name="_Toc11919"/>
      <w:r>
        <w:rPr>
          <w:rFonts w:hint="eastAsia"/>
          <w:kern w:val="2"/>
          <w:sz w:val="21"/>
        </w:rPr>
        <w:t>计算方法</w:t>
      </w:r>
      <w:bookmarkEnd w:id="43"/>
    </w:p>
    <w:p>
      <w:pPr>
        <w:pStyle w:val="3"/>
        <w:ind w:firstLine="420"/>
        <w:jc w:val="left"/>
        <w:rPr>
          <w:lang w:val="en-US"/>
        </w:rPr>
      </w:pPr>
      <w:r>
        <w:rPr>
          <w:rFonts w:hint="eastAsia"/>
          <w:lang w:val="en-US"/>
        </w:rPr>
        <w:t>建立参照</w:t>
      </w:r>
      <w:r>
        <w:rPr>
          <w:lang w:val="en-US"/>
        </w:rPr>
        <w:t>建筑，参照建筑的热工参数、</w:t>
      </w:r>
      <w:r>
        <w:rPr>
          <w:rFonts w:hint="eastAsia"/>
          <w:lang w:val="en-US"/>
        </w:rPr>
        <w:t>采暖</w:t>
      </w:r>
      <w:r>
        <w:rPr>
          <w:lang w:val="en-US"/>
        </w:rPr>
        <w:t>空调照明形式及设备满足</w:t>
      </w:r>
      <w:r>
        <w:rPr>
          <w:rFonts w:hint="eastAsia"/>
          <w:lang w:val="en-US"/>
        </w:rPr>
        <w:t>现行</w:t>
      </w:r>
      <w:r>
        <w:rPr>
          <w:lang w:val="en-US"/>
        </w:rPr>
        <w:t>国家节能标准要求</w:t>
      </w:r>
      <w:r>
        <w:rPr>
          <w:rFonts w:hint="eastAsia"/>
          <w:lang w:val="en-US"/>
        </w:rPr>
        <w:t>。</w:t>
      </w:r>
    </w:p>
    <w:p>
      <w:pPr>
        <w:pStyle w:val="3"/>
        <w:ind w:firstLine="420"/>
        <w:jc w:val="left"/>
        <w:rPr>
          <w:lang w:val="en-US"/>
        </w:rPr>
      </w:pPr>
      <w:r>
        <w:rPr>
          <w:rFonts w:hint="eastAsia"/>
          <w:lang w:val="en-US"/>
        </w:rPr>
        <w:t>根据现行行业标准《民用建筑绿色性能计算标准》JGJ/T449的相关规定，分别计算设计建筑及参照建筑的供暖空调和照明系统能耗，计算其节能率并进行得分判定。</w:t>
      </w:r>
    </w:p>
    <w:p>
      <w:pPr>
        <w:pStyle w:val="3"/>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pPr>
        <w:pStyle w:val="3"/>
        <w:ind w:firstLine="840" w:firstLineChars="40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pPr>
        <w:pStyle w:val="2"/>
      </w:pPr>
      <w:bookmarkStart w:id="44" w:name="_Toc1211"/>
      <w:r>
        <w:rPr>
          <w:rFonts w:hint="eastAsia"/>
        </w:rPr>
        <w:t>气象数据</w:t>
      </w:r>
      <w:bookmarkEnd w:id="44"/>
    </w:p>
    <w:p>
      <w:pPr>
        <w:pStyle w:val="4"/>
      </w:pPr>
      <w:bookmarkStart w:id="45" w:name="_Toc19171"/>
      <w:r>
        <w:rPr>
          <w:rFonts w:hint="eastAsia"/>
        </w:rPr>
        <w:t>气象地点</w:t>
      </w:r>
      <w:bookmarkEnd w:id="45"/>
    </w:p>
    <w:p>
      <w:pPr>
        <w:pStyle w:val="3"/>
        <w:ind w:firstLine="420"/>
        <w:rPr>
          <w:lang w:val="en-US"/>
        </w:rPr>
      </w:pPr>
      <w:bookmarkStart w:id="46" w:name="气象数据来源"/>
      <w:r>
        <w:t>浙江-杭州, 《中国建筑热环境分析专用气象数据集》</w:t>
      </w:r>
      <w:bookmarkStart w:id="47" w:name="日均干球温度变化表"/>
      <w:bookmarkStart w:id="48" w:name="逐月辐照量图表"/>
    </w:p>
    <w:p>
      <w:pPr>
        <w:pStyle w:val="4"/>
      </w:pPr>
      <w:bookmarkStart w:id="49" w:name="_Toc2930"/>
      <w:r>
        <w:rPr>
          <w:rFonts w:hint="eastAsia"/>
        </w:rPr>
        <w:t>峰值工况</w:t>
      </w:r>
      <w:bookmarkEnd w:id="4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06月29日15时</w:t>
            </w:r>
          </w:p>
        </w:tc>
        <w:tc>
          <w:tcPr>
            <w:vAlign w:val="center"/>
          </w:tcPr>
          <w:p>
            <w:r>
              <w:t>37.2</w:t>
            </w:r>
          </w:p>
        </w:tc>
        <w:tc>
          <w:tcPr>
            <w:vAlign w:val="center"/>
          </w:tcPr>
          <w:p>
            <w:r>
              <w:t>27.8</w:t>
            </w:r>
          </w:p>
        </w:tc>
        <w:tc>
          <w:tcPr>
            <w:vAlign w:val="center"/>
          </w:tcPr>
          <w:p>
            <w:r>
              <w:t>20.1</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12月20日06时</w:t>
            </w:r>
          </w:p>
        </w:tc>
        <w:tc>
          <w:tcPr>
            <w:vAlign w:val="center"/>
          </w:tcPr>
          <w:p>
            <w:r>
              <w:t>-2.2</w:t>
            </w:r>
          </w:p>
        </w:tc>
        <w:tc>
          <w:tcPr>
            <w:vAlign w:val="center"/>
          </w:tcPr>
          <w:p>
            <w:r>
              <w:t>-3.9</w:t>
            </w:r>
          </w:p>
        </w:tc>
        <w:tc>
          <w:tcPr>
            <w:vAlign w:val="center"/>
          </w:tcPr>
          <w:p>
            <w:r>
              <w:t>1.9</w:t>
            </w:r>
          </w:p>
        </w:tc>
        <w:tc>
          <w:tcPr>
            <w:vAlign w:val="center"/>
          </w:tcPr>
          <w:p>
            <w:r>
              <w:t>2.5</w:t>
            </w:r>
          </w:p>
        </w:tc>
      </w:tr>
    </w:tbl>
    <w:p>
      <w:pPr>
        <w:pStyle w:val="2"/>
        <w:widowControl w:val="0"/>
        <w:jc w:val="both"/>
      </w:pPr>
      <w:bookmarkStart w:id="50" w:name="_Toc12619"/>
      <w:bookmarkStart w:id="51" w:name="气象峰值工况"/>
      <w:r>
        <w:t>围护结构</w:t>
      </w:r>
      <w:bookmarkEnd w:id="50"/>
    </w:p>
    <w:p>
      <w:pPr>
        <w:pStyle w:val="4"/>
        <w:widowControl w:val="0"/>
        <w:jc w:val="both"/>
      </w:pPr>
      <w:bookmarkStart w:id="52" w:name="_Toc4084"/>
      <w:r>
        <w:t>工程材料</w:t>
      </w:r>
      <w:bookmarkEnd w:id="52"/>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挤塑聚苯板(ρ=25-32)</w:t>
            </w:r>
          </w:p>
        </w:tc>
        <w:tc>
          <w:tcPr>
            <w:vAlign w:val="center"/>
          </w:tcPr>
          <w:p>
            <w:r>
              <w:t>0.030</w:t>
            </w:r>
          </w:p>
        </w:tc>
        <w:tc>
          <w:tcPr>
            <w:vAlign w:val="center"/>
          </w:tcPr>
          <w:p>
            <w:r>
              <w:t>0.320</w:t>
            </w:r>
          </w:p>
        </w:tc>
        <w:tc>
          <w:tcPr>
            <w:vAlign w:val="center"/>
          </w:tcPr>
          <w:p>
            <w:r>
              <w:t>25.0</w:t>
            </w:r>
          </w:p>
        </w:tc>
        <w:tc>
          <w:tcPr>
            <w:vAlign w:val="center"/>
          </w:tcPr>
          <w:p>
            <w:r>
              <w:t>1647.0</w:t>
            </w:r>
          </w:p>
        </w:tc>
        <w:tc>
          <w:tcPr>
            <w:vAlign w:val="center"/>
          </w:tcPr>
          <w:p>
            <w:r>
              <w:t>0.0162</w:t>
            </w:r>
          </w:p>
        </w:tc>
        <w:tc>
          <w:tcPr>
            <w:vAlign w:val="center"/>
          </w:tcPr>
          <w:p>
            <w:r>
              <w:rPr>
                <w:sz w:val="18"/>
                <w:szCs w:val="18"/>
              </w:rPr>
              <w:t>来源：《浙江省居住建筑节能设计标准》-DB33/1015-2015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蒸压加气混凝土砌块（B07）</w:t>
            </w:r>
          </w:p>
        </w:tc>
        <w:tc>
          <w:tcPr>
            <w:vAlign w:val="center"/>
          </w:tcPr>
          <w:p>
            <w:r>
              <w:t>0.180</w:t>
            </w:r>
          </w:p>
        </w:tc>
        <w:tc>
          <w:tcPr>
            <w:vAlign w:val="center"/>
          </w:tcPr>
          <w:p>
            <w:r>
              <w:t>3.590</w:t>
            </w:r>
          </w:p>
        </w:tc>
        <w:tc>
          <w:tcPr>
            <w:vAlign w:val="center"/>
          </w:tcPr>
          <w:p>
            <w:r>
              <w:t>700.0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抗裂砂浆（网格布）</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聚合物水泥石灰砂浆</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石灰水泥砂浆（混合砂浆）</w:t>
            </w:r>
          </w:p>
        </w:tc>
        <w:tc>
          <w:tcPr>
            <w:vAlign w:val="center"/>
          </w:tcPr>
          <w:p>
            <w:r>
              <w:t>0.870</w:t>
            </w:r>
          </w:p>
        </w:tc>
        <w:tc>
          <w:tcPr>
            <w:vAlign w:val="center"/>
          </w:tcPr>
          <w:p>
            <w:r>
              <w:t>10.750</w:t>
            </w:r>
          </w:p>
        </w:tc>
        <w:tc>
          <w:tcPr>
            <w:vAlign w:val="center"/>
          </w:tcPr>
          <w:p>
            <w:r>
              <w:t>1700.0</w:t>
            </w:r>
          </w:p>
        </w:tc>
        <w:tc>
          <w:tcPr>
            <w:vAlign w:val="center"/>
          </w:tcPr>
          <w:p>
            <w:r>
              <w:t>1074.4</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无机轻集料保温浆料Ⅰ型</w:t>
            </w:r>
          </w:p>
        </w:tc>
        <w:tc>
          <w:tcPr>
            <w:vAlign w:val="center"/>
          </w:tcPr>
          <w:p>
            <w:r>
              <w:t>0.070</w:t>
            </w:r>
          </w:p>
        </w:tc>
        <w:tc>
          <w:tcPr>
            <w:vAlign w:val="center"/>
          </w:tcPr>
          <w:p>
            <w:r>
              <w:t>1.200</w:t>
            </w:r>
          </w:p>
        </w:tc>
        <w:tc>
          <w:tcPr>
            <w:vAlign w:val="center"/>
          </w:tcPr>
          <w:p>
            <w:r>
              <w:t>350.0</w:t>
            </w:r>
          </w:p>
        </w:tc>
        <w:tc>
          <w:tcPr>
            <w:vAlign w:val="center"/>
          </w:tcPr>
          <w:p>
            <w:r>
              <w:t>800.0</w:t>
            </w:r>
          </w:p>
        </w:tc>
        <w:tc>
          <w:tcPr>
            <w:vAlign w:val="center"/>
          </w:tcPr>
          <w:p>
            <w:r>
              <w:t>0.0000</w:t>
            </w:r>
          </w:p>
        </w:tc>
        <w:tc>
          <w:tcPr>
            <w:vAlign w:val="center"/>
          </w:tcPr>
          <w:p>
            <w:r>
              <w:rPr>
                <w:sz w:val="18"/>
                <w:szCs w:val="18"/>
              </w:rPr>
              <w:t>(DB33/T1054-2016),修正系数=1.25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细石混凝土（双向配筋）</w:t>
            </w:r>
          </w:p>
        </w:tc>
        <w:tc>
          <w:tcPr>
            <w:vAlign w:val="center"/>
          </w:tcPr>
          <w:p>
            <w:r>
              <w:t>1.740</w:t>
            </w:r>
          </w:p>
        </w:tc>
        <w:tc>
          <w:tcPr>
            <w:vAlign w:val="center"/>
          </w:tcPr>
          <w:p>
            <w:r>
              <w:t>17.060</w:t>
            </w:r>
          </w:p>
        </w:tc>
        <w:tc>
          <w:tcPr>
            <w:vAlign w:val="center"/>
          </w:tcPr>
          <w:p>
            <w:r>
              <w:t>2500.0</w:t>
            </w:r>
          </w:p>
        </w:tc>
        <w:tc>
          <w:tcPr>
            <w:vAlign w:val="center"/>
          </w:tcPr>
          <w:p>
            <w:r>
              <w:t>920.0</w:t>
            </w:r>
          </w:p>
        </w:tc>
        <w:tc>
          <w:tcPr>
            <w:vAlign w:val="center"/>
          </w:tcPr>
          <w:p>
            <w:r>
              <w:t>0.0000</w:t>
            </w:r>
          </w:p>
        </w:tc>
        <w:tc>
          <w:tcPr>
            <w:vAlign w:val="center"/>
          </w:tcPr>
          <w:p>
            <w:r>
              <w:rPr>
                <w:sz w:val="18"/>
                <w:szCs w:val="18"/>
              </w:rPr>
              <w:t>蒸汽渗透系数为测定值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石膏板</w:t>
            </w:r>
          </w:p>
        </w:tc>
        <w:tc>
          <w:tcPr>
            <w:vAlign w:val="center"/>
          </w:tcPr>
          <w:p>
            <w:r>
              <w:t>0.330</w:t>
            </w:r>
          </w:p>
        </w:tc>
        <w:tc>
          <w:tcPr>
            <w:vAlign w:val="center"/>
          </w:tcPr>
          <w:p>
            <w:r>
              <w:t>5.144</w:t>
            </w:r>
          </w:p>
        </w:tc>
        <w:tc>
          <w:tcPr>
            <w:vAlign w:val="center"/>
          </w:tcPr>
          <w:p>
            <w:r>
              <w:t>1050.0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防水砂浆</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空气间层(30mm)</w:t>
            </w:r>
          </w:p>
        </w:tc>
        <w:tc>
          <w:tcPr>
            <w:vAlign w:val="center"/>
          </w:tcPr>
          <w:p>
            <w:r>
              <w:t>0.186</w:t>
            </w:r>
          </w:p>
        </w:tc>
        <w:tc>
          <w:tcPr>
            <w:vAlign w:val="center"/>
          </w:tcPr>
          <w:p>
            <w:r>
              <w:t>0.171</w:t>
            </w:r>
          </w:p>
        </w:tc>
        <w:tc>
          <w:tcPr>
            <w:vAlign w:val="center"/>
          </w:tcPr>
          <w:p>
            <w:r>
              <w:t>1.2</w:t>
            </w:r>
          </w:p>
        </w:tc>
        <w:tc>
          <w:tcPr>
            <w:vAlign w:val="center"/>
          </w:tcPr>
          <w:p>
            <w:r>
              <w:t>598.4</w:t>
            </w:r>
          </w:p>
        </w:tc>
        <w:tc>
          <w:tcPr>
            <w:vAlign w:val="center"/>
          </w:tcPr>
          <w:p>
            <w:r>
              <w:t>0.0000</w:t>
            </w:r>
          </w:p>
        </w:tc>
        <w:tc>
          <w:tcPr>
            <w:vAlign w:val="center"/>
          </w:tcPr>
          <w:p>
            <w:r>
              <w:rPr>
                <w:sz w:val="18"/>
                <w:szCs w:val="18"/>
              </w:rPr>
              <w:t>选此材料时厚度设定为60mm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矿棉、岩棉、玻璃棉板(ρ=80-200)</w:t>
            </w:r>
          </w:p>
        </w:tc>
        <w:tc>
          <w:tcPr>
            <w:vAlign w:val="center"/>
          </w:tcPr>
          <w:p>
            <w:r>
              <w:t>0.045</w:t>
            </w:r>
          </w:p>
        </w:tc>
        <w:tc>
          <w:tcPr>
            <w:vAlign w:val="center"/>
          </w:tcPr>
          <w:p>
            <w:r>
              <w:t>0.748</w:t>
            </w:r>
          </w:p>
        </w:tc>
        <w:tc>
          <w:tcPr>
            <w:vAlign w:val="center"/>
          </w:tcPr>
          <w:p>
            <w:r>
              <w:t>140.0</w:t>
            </w:r>
          </w:p>
        </w:tc>
        <w:tc>
          <w:tcPr>
            <w:vAlign w:val="center"/>
          </w:tcPr>
          <w:p>
            <w:r>
              <w:t>1220.0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GRC板</w:t>
            </w:r>
          </w:p>
        </w:tc>
        <w:tc>
          <w:tcPr>
            <w:vAlign w:val="center"/>
          </w:tcPr>
          <w:p>
            <w:r>
              <w:t>0.440</w:t>
            </w:r>
          </w:p>
        </w:tc>
        <w:tc>
          <w:tcPr>
            <w:vAlign w:val="center"/>
          </w:tcPr>
          <w:p>
            <w:r>
              <w:t>1.275</w:t>
            </w:r>
          </w:p>
        </w:tc>
        <w:tc>
          <w:tcPr>
            <w:vAlign w:val="center"/>
          </w:tcPr>
          <w:p>
            <w:r>
              <w:t>25.4</w:t>
            </w:r>
          </w:p>
        </w:tc>
        <w:tc>
          <w:tcPr>
            <w:vAlign w:val="center"/>
          </w:tcPr>
          <w:p>
            <w:r>
              <w:t>2000.0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C20细石混凝土(ρ=2300)</w:t>
            </w:r>
          </w:p>
        </w:tc>
        <w:tc>
          <w:tcPr>
            <w:vAlign w:val="center"/>
          </w:tcPr>
          <w:p>
            <w:r>
              <w:t>1.510</w:t>
            </w:r>
          </w:p>
        </w:tc>
        <w:tc>
          <w:tcPr>
            <w:vAlign w:val="center"/>
          </w:tcPr>
          <w:p>
            <w:r>
              <w:t>15.243</w:t>
            </w:r>
          </w:p>
        </w:tc>
        <w:tc>
          <w:tcPr>
            <w:vAlign w:val="center"/>
          </w:tcPr>
          <w:p>
            <w:r>
              <w:t>2300.0</w:t>
            </w:r>
          </w:p>
        </w:tc>
        <w:tc>
          <w:tcPr>
            <w:vAlign w:val="center"/>
          </w:tcPr>
          <w:p>
            <w:r>
              <w:t>920.0</w:t>
            </w:r>
          </w:p>
        </w:tc>
        <w:tc>
          <w:tcPr>
            <w:vAlign w:val="center"/>
          </w:tcPr>
          <w:p>
            <w:r>
              <w:t>0.0000</w:t>
            </w:r>
          </w:p>
        </w:tc>
        <w:tc>
          <w:tcPr>
            <w:vAlign w:val="center"/>
          </w:tcPr>
          <w:p>
            <w:r>
              <w:rPr>
                <w:sz w:val="18"/>
                <w:szCs w:val="18"/>
              </w:rPr>
              <w:t>蒸汽渗透系数为测定值</w:t>
            </w:r>
          </w:p>
        </w:tc>
      </w:tr>
    </w:tbl>
    <w:p>
      <w:pPr>
        <w:pStyle w:val="4"/>
        <w:widowControl w:val="0"/>
        <w:jc w:val="both"/>
      </w:pPr>
      <w:bookmarkStart w:id="53" w:name="_Toc11980"/>
      <w:r>
        <w:t>体形系数</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外表面积</w:t>
            </w:r>
          </w:p>
        </w:tc>
        <w:tc>
          <w:tcPr>
            <w:vAlign w:val="center"/>
          </w:tcPr>
          <w:p>
            <w:r>
              <w:t>1428.89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建筑体积</w:t>
            </w:r>
          </w:p>
        </w:tc>
        <w:tc>
          <w:tcPr>
            <w:vAlign w:val="center"/>
          </w:tcPr>
          <w:p>
            <w:r>
              <w:t>3581.90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体形系数</w:t>
            </w:r>
          </w:p>
        </w:tc>
        <w:tc>
          <w:tcPr>
            <w:vAlign w:val="center"/>
          </w:tcPr>
          <w:p>
            <w:r>
              <w:t>0.40</w:t>
            </w:r>
          </w:p>
        </w:tc>
      </w:tr>
    </w:tbl>
    <w:p>
      <w:pPr>
        <w:pStyle w:val="4"/>
        <w:widowControl w:val="0"/>
        <w:jc w:val="both"/>
      </w:pPr>
      <w:bookmarkStart w:id="54" w:name="_Toc24442"/>
      <w:r>
        <w:t>窗墙比</w:t>
      </w:r>
      <w:bookmarkEnd w:id="54"/>
    </w:p>
    <w:p>
      <w:pPr>
        <w:pStyle w:val="5"/>
        <w:widowControl w:val="0"/>
        <w:jc w:val="both"/>
      </w:pPr>
      <w:bookmarkStart w:id="55" w:name="_Toc11455"/>
      <w:r>
        <w:t>窗墙比</w:t>
      </w:r>
      <w:bookmarkEnd w:id="5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377"/>
        <w:gridCol w:w="2377"/>
        <w:gridCol w:w="2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窗面积(㎡)</w:t>
            </w:r>
          </w:p>
        </w:tc>
        <w:tc>
          <w:tcPr>
            <w:shd w:val="clear" w:color="auto" w:fill="E6E6E6"/>
            <w:vAlign w:val="center"/>
          </w:tcPr>
          <w:p>
            <w:pPr>
              <w:jc w:val="center"/>
            </w:pPr>
            <w:r>
              <w:t>墙面积(㎡)</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129.87</w:t>
            </w:r>
          </w:p>
        </w:tc>
        <w:tc>
          <w:tcPr>
            <w:vAlign w:val="center"/>
          </w:tcPr>
          <w:p>
            <w:r>
              <w:t>363.72</w:t>
            </w:r>
          </w:p>
        </w:tc>
        <w:tc>
          <w:tcPr>
            <w:vAlign w:val="center"/>
          </w:tcPr>
          <w:p>
            <w:r>
              <w:t>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81.00</w:t>
            </w:r>
          </w:p>
        </w:tc>
        <w:tc>
          <w:tcPr>
            <w:vAlign w:val="center"/>
          </w:tcPr>
          <w:p>
            <w:r>
              <w:t>342.00</w:t>
            </w:r>
          </w:p>
        </w:tc>
        <w:tc>
          <w:tcPr>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0.00</w:t>
            </w:r>
          </w:p>
        </w:tc>
        <w:tc>
          <w:tcPr>
            <w:vAlign w:val="center"/>
          </w:tcPr>
          <w:p>
            <w:r>
              <w:t>216.90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0.00</w:t>
            </w:r>
          </w:p>
        </w:tc>
        <w:tc>
          <w:tcPr>
            <w:vAlign w:val="center"/>
          </w:tcPr>
          <w:p>
            <w:r>
              <w:t>216.90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w:t>
            </w:r>
          </w:p>
        </w:tc>
        <w:tc>
          <w:tcPr>
            <w:vAlign w:val="center"/>
          </w:tcPr>
          <w:p>
            <w:r>
              <w:t>210.87</w:t>
            </w:r>
          </w:p>
        </w:tc>
        <w:tc>
          <w:tcPr>
            <w:vAlign w:val="center"/>
          </w:tcPr>
          <w:p>
            <w:r>
              <w:t>1139.52</w:t>
            </w:r>
          </w:p>
        </w:tc>
        <w:tc>
          <w:tcPr>
            <w:vAlign w:val="center"/>
          </w:tcPr>
          <w:p>
            <w:r>
              <w:t>0.19</w:t>
            </w:r>
          </w:p>
        </w:tc>
      </w:tr>
    </w:tbl>
    <w:p>
      <w:pPr>
        <w:pStyle w:val="4"/>
        <w:widowControl w:val="0"/>
        <w:jc w:val="both"/>
      </w:pPr>
      <w:bookmarkStart w:id="56" w:name="_Toc21037"/>
      <w:r>
        <w:t>屋顶构造</w:t>
      </w:r>
      <w:bookmarkEnd w:id="56"/>
    </w:p>
    <w:p>
      <w:pPr>
        <w:pStyle w:val="5"/>
        <w:widowControl w:val="0"/>
        <w:jc w:val="both"/>
      </w:pPr>
      <w:bookmarkStart w:id="57" w:name="_Toc30878"/>
      <w:r>
        <w:t>屋顶构造1</w:t>
      </w:r>
      <w:bookmarkEnd w:id="5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（由上到下）</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细石混凝土（双向配筋）</w:t>
            </w:r>
          </w:p>
        </w:tc>
        <w:tc>
          <w:tcPr>
            <w:vAlign w:val="center"/>
          </w:tcPr>
          <w:p>
            <w:r>
              <w:t>50</w:t>
            </w:r>
          </w:p>
        </w:tc>
        <w:tc>
          <w:tcPr>
            <w:vAlign w:val="center"/>
          </w:tcPr>
          <w:p>
            <w:r>
              <w:t>1.740</w:t>
            </w:r>
          </w:p>
        </w:tc>
        <w:tc>
          <w:tcPr>
            <w:vAlign w:val="center"/>
          </w:tcPr>
          <w:p>
            <w:r>
              <w:t>17.060</w:t>
            </w:r>
          </w:p>
        </w:tc>
        <w:tc>
          <w:tcPr>
            <w:vAlign w:val="center"/>
          </w:tcPr>
          <w:p>
            <w:r>
              <w:t>1.00</w:t>
            </w:r>
          </w:p>
        </w:tc>
        <w:tc>
          <w:tcPr>
            <w:vAlign w:val="center"/>
          </w:tcPr>
          <w:p>
            <w:r>
              <w:t>0.029</w:t>
            </w:r>
          </w:p>
        </w:tc>
        <w:tc>
          <w:tcPr>
            <w:vAlign w:val="center"/>
          </w:tcPr>
          <w:p>
            <w:r>
              <w:t>0.490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挤塑聚苯板(ρ=25-32)</w:t>
            </w:r>
          </w:p>
        </w:tc>
        <w:tc>
          <w:tcPr>
            <w:vAlign w:val="center"/>
          </w:tcPr>
          <w:p>
            <w:r>
              <w:t>60</w:t>
            </w:r>
          </w:p>
        </w:tc>
        <w:tc>
          <w:tcPr>
            <w:vAlign w:val="center"/>
          </w:tcPr>
          <w:p>
            <w:r>
              <w:t>0.030</w:t>
            </w:r>
          </w:p>
        </w:tc>
        <w:tc>
          <w:tcPr>
            <w:vAlign w:val="center"/>
          </w:tcPr>
          <w:p>
            <w:r>
              <w:t>0.320</w:t>
            </w:r>
          </w:p>
        </w:tc>
        <w:tc>
          <w:tcPr>
            <w:vAlign w:val="center"/>
          </w:tcPr>
          <w:p>
            <w:r>
              <w:t>1.20</w:t>
            </w:r>
          </w:p>
        </w:tc>
        <w:tc>
          <w:tcPr>
            <w:vAlign w:val="center"/>
          </w:tcPr>
          <w:p>
            <w:r>
              <w:t>1.667</w:t>
            </w:r>
          </w:p>
        </w:tc>
        <w:tc>
          <w:tcPr>
            <w:vAlign w:val="center"/>
          </w:tcPr>
          <w:p>
            <w:r>
              <w:t>0.640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防水砂浆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20</w:t>
            </w:r>
          </w:p>
        </w:tc>
        <w:tc>
          <w:tcPr>
            <w:vAlign w:val="center"/>
          </w:tcPr>
          <w:p>
            <w:r>
              <w:t>1.510</w:t>
            </w:r>
          </w:p>
        </w:tc>
        <w:tc>
          <w:tcPr>
            <w:vAlign w:val="center"/>
          </w:tcPr>
          <w:p>
            <w:r>
              <w:t>15.243</w:t>
            </w:r>
          </w:p>
        </w:tc>
        <w:tc>
          <w:tcPr>
            <w:vAlign w:val="center"/>
          </w:tcPr>
          <w:p>
            <w:r>
              <w:t>1.00</w:t>
            </w:r>
          </w:p>
        </w:tc>
        <w:tc>
          <w:tcPr>
            <w:vAlign w:val="center"/>
          </w:tcPr>
          <w:p>
            <w:r>
              <w:t>0.013</w:t>
            </w:r>
          </w:p>
        </w:tc>
        <w:tc>
          <w:tcPr>
            <w:vAlign w:val="center"/>
          </w:tcPr>
          <w:p>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无机轻集料保温浆料Ⅰ型</w:t>
            </w:r>
          </w:p>
        </w:tc>
        <w:tc>
          <w:tcPr>
            <w:vAlign w:val="center"/>
          </w:tcPr>
          <w:p>
            <w:r>
              <w:t>20</w:t>
            </w:r>
          </w:p>
        </w:tc>
        <w:tc>
          <w:tcPr>
            <w:vAlign w:val="center"/>
          </w:tcPr>
          <w:p>
            <w:r>
              <w:t>0.070</w:t>
            </w:r>
          </w:p>
        </w:tc>
        <w:tc>
          <w:tcPr>
            <w:vAlign w:val="center"/>
          </w:tcPr>
          <w:p>
            <w:r>
              <w:t>1.200</w:t>
            </w:r>
          </w:p>
        </w:tc>
        <w:tc>
          <w:tcPr>
            <w:vAlign w:val="center"/>
          </w:tcPr>
          <w:p>
            <w:r>
              <w:t>1.25</w:t>
            </w:r>
          </w:p>
        </w:tc>
        <w:tc>
          <w:tcPr>
            <w:vAlign w:val="center"/>
          </w:tcPr>
          <w:p>
            <w:r>
              <w:t>0.229</w:t>
            </w:r>
          </w:p>
        </w:tc>
        <w:tc>
          <w:tcPr>
            <w:vAlign w:val="center"/>
          </w:tcPr>
          <w:p>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290</w:t>
            </w:r>
          </w:p>
        </w:tc>
        <w:tc>
          <w:tcPr>
            <w:vAlign w:val="center"/>
          </w:tcPr>
          <w:p>
            <w:r>
              <w:t>－</w:t>
            </w:r>
          </w:p>
        </w:tc>
        <w:tc>
          <w:tcPr>
            <w:vAlign w:val="center"/>
          </w:tcPr>
          <w:p>
            <w:r>
              <w:t>－</w:t>
            </w:r>
          </w:p>
        </w:tc>
        <w:tc>
          <w:tcPr>
            <w:vAlign w:val="center"/>
          </w:tcPr>
          <w:p>
            <w:r>
              <w:t>－</w:t>
            </w:r>
          </w:p>
        </w:tc>
        <w:tc>
          <w:tcPr>
            <w:vAlign w:val="center"/>
          </w:tcPr>
          <w:p>
            <w:r>
              <w:t>2.028</w:t>
            </w:r>
          </w:p>
        </w:tc>
        <w:tc>
          <w:tcPr>
            <w:vAlign w:val="center"/>
          </w:tcPr>
          <w:p>
            <w:r>
              <w:t>3.104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0.46</w:t>
            </w:r>
          </w:p>
        </w:tc>
      </w:tr>
    </w:tbl>
    <w:p>
      <w:pPr>
        <w:widowControl w:val="0"/>
        <w:jc w:val="both"/>
      </w:pPr>
    </w:p>
    <w:p>
      <w:pPr>
        <w:pStyle w:val="4"/>
        <w:widowControl w:val="0"/>
        <w:jc w:val="both"/>
      </w:pPr>
      <w:bookmarkStart w:id="58" w:name="_Toc17872"/>
      <w:r>
        <w:t>外墙构造</w:t>
      </w:r>
      <w:bookmarkEnd w:id="58"/>
    </w:p>
    <w:p>
      <w:pPr>
        <w:pStyle w:val="5"/>
        <w:widowControl w:val="0"/>
        <w:jc w:val="both"/>
      </w:pPr>
      <w:bookmarkStart w:id="59" w:name="_Toc20126"/>
      <w:r>
        <w:t>外墙构造1</w:t>
      </w:r>
      <w:bookmarkEnd w:id="59"/>
    </w:p>
    <w:tbl>
      <w:tblPr>
        <w:tblStyle w:val="19"/>
        <w:tblW w:w="93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rPr>
                <w:rFonts w:ascii="Times New Roman" w:hAnsi="Times New Roman" w:eastAsia="宋体" w:cs="Times New Roman"/>
                <w:sz w:val="21"/>
                <w:lang w:val="en-GB" w:eastAsia="zh-CN" w:bidi="ar-SA"/>
              </w:rPr>
            </w:pPr>
            <w:r>
              <w:t>无机轻集料保温浆料Ⅰ型</w:t>
            </w:r>
          </w:p>
        </w:tc>
        <w:tc>
          <w:tcPr>
            <w:vAlign w:val="center"/>
          </w:tcPr>
          <w:p>
            <w:pPr>
              <w:rPr>
                <w:rFonts w:ascii="Times New Roman" w:hAnsi="Times New Roman" w:eastAsia="宋体" w:cs="Times New Roman"/>
                <w:sz w:val="21"/>
                <w:lang w:val="en-GB" w:eastAsia="zh-CN" w:bidi="ar-SA"/>
              </w:rPr>
            </w:pPr>
            <w:r>
              <w:t>30</w:t>
            </w:r>
          </w:p>
        </w:tc>
        <w:tc>
          <w:tcPr>
            <w:vAlign w:val="center"/>
          </w:tcPr>
          <w:p>
            <w:pPr>
              <w:rPr>
                <w:rFonts w:ascii="Times New Roman" w:hAnsi="Times New Roman" w:eastAsia="宋体" w:cs="Times New Roman"/>
                <w:sz w:val="21"/>
                <w:lang w:val="en-GB" w:eastAsia="zh-CN" w:bidi="ar-SA"/>
              </w:rPr>
            </w:pPr>
            <w:r>
              <w:t>0.070</w:t>
            </w:r>
          </w:p>
        </w:tc>
        <w:tc>
          <w:tcPr>
            <w:vAlign w:val="center"/>
          </w:tcPr>
          <w:p>
            <w:pPr>
              <w:rPr>
                <w:rFonts w:ascii="Times New Roman" w:hAnsi="Times New Roman" w:eastAsia="宋体" w:cs="Times New Roman"/>
                <w:sz w:val="21"/>
                <w:lang w:val="en-GB" w:eastAsia="zh-CN" w:bidi="ar-SA"/>
              </w:rPr>
            </w:pPr>
            <w:r>
              <w:t>1.200</w:t>
            </w:r>
          </w:p>
        </w:tc>
        <w:tc>
          <w:tcPr>
            <w:vAlign w:val="center"/>
          </w:tcPr>
          <w:p>
            <w:pPr>
              <w:rPr>
                <w:rFonts w:ascii="Times New Roman" w:hAnsi="Times New Roman" w:eastAsia="宋体" w:cs="Times New Roman"/>
                <w:sz w:val="21"/>
                <w:lang w:val="en-GB" w:eastAsia="zh-CN" w:bidi="ar-SA"/>
              </w:rPr>
            </w:pPr>
            <w:r>
              <w:t>1.25</w:t>
            </w:r>
          </w:p>
        </w:tc>
        <w:tc>
          <w:tcPr>
            <w:vAlign w:val="center"/>
          </w:tcPr>
          <w:p>
            <w:pPr>
              <w:rPr>
                <w:rFonts w:ascii="Times New Roman" w:hAnsi="Times New Roman" w:eastAsia="宋体" w:cs="Times New Roman"/>
                <w:sz w:val="21"/>
                <w:lang w:val="en-GB" w:eastAsia="zh-CN" w:bidi="ar-SA"/>
              </w:rPr>
            </w:pPr>
            <w:r>
              <w:t>0.343</w:t>
            </w:r>
          </w:p>
        </w:tc>
        <w:tc>
          <w:tcPr>
            <w:vAlign w:val="center"/>
          </w:tcPr>
          <w:p>
            <w:pPr>
              <w:rPr>
                <w:rFonts w:ascii="Times New Roman" w:hAnsi="Times New Roman" w:eastAsia="宋体" w:cs="Times New Roman"/>
                <w:sz w:val="21"/>
                <w:lang w:val="en-GB" w:eastAsia="zh-CN" w:bidi="ar-SA"/>
              </w:rPr>
            </w:pPr>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蒸压加气混凝土砌块（B07）</w:t>
            </w:r>
          </w:p>
        </w:tc>
        <w:tc>
          <w:tcPr>
            <w:vAlign w:val="center"/>
          </w:tcPr>
          <w:p>
            <w:r>
              <w:t>200</w:t>
            </w:r>
          </w:p>
        </w:tc>
        <w:tc>
          <w:tcPr>
            <w:vAlign w:val="center"/>
          </w:tcPr>
          <w:p>
            <w:r>
              <w:t>0.180</w:t>
            </w:r>
          </w:p>
        </w:tc>
        <w:tc>
          <w:tcPr>
            <w:vAlign w:val="center"/>
          </w:tcPr>
          <w:p>
            <w:r>
              <w:t>3.590</w:t>
            </w:r>
          </w:p>
        </w:tc>
        <w:tc>
          <w:tcPr>
            <w:vAlign w:val="center"/>
          </w:tcPr>
          <w:p>
            <w:r>
              <w:t>1.00</w:t>
            </w:r>
          </w:p>
        </w:tc>
        <w:tc>
          <w:tcPr>
            <w:vAlign w:val="center"/>
          </w:tcPr>
          <w:p>
            <w:r>
              <w:t>1.111</w:t>
            </w:r>
          </w:p>
        </w:tc>
        <w:tc>
          <w:tcPr>
            <w:vAlign w:val="center"/>
          </w:tcPr>
          <w:p>
            <w:r>
              <w:t>3.989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rPr>
                <w:rFonts w:ascii="Times New Roman" w:hAnsi="Times New Roman" w:eastAsia="宋体" w:cs="Times New Roman"/>
                <w:sz w:val="21"/>
                <w:lang w:val="en-GB" w:eastAsia="zh-CN" w:bidi="ar-SA"/>
              </w:rPr>
            </w:pPr>
            <w:r>
              <w:t>矿棉、岩棉、玻璃棉板(ρ=80-200)</w:t>
            </w:r>
          </w:p>
        </w:tc>
        <w:tc>
          <w:tcPr>
            <w:vAlign w:val="center"/>
          </w:tcPr>
          <w:p>
            <w:pPr>
              <w:rPr>
                <w:rFonts w:ascii="Times New Roman" w:hAnsi="Times New Roman" w:eastAsia="宋体" w:cs="Times New Roman"/>
                <w:sz w:val="21"/>
                <w:lang w:val="en-GB" w:eastAsia="zh-CN" w:bidi="ar-SA"/>
              </w:rPr>
            </w:pPr>
            <w:r>
              <w:t>70</w:t>
            </w:r>
          </w:p>
        </w:tc>
        <w:tc>
          <w:tcPr>
            <w:vAlign w:val="center"/>
          </w:tcPr>
          <w:p>
            <w:pPr>
              <w:rPr>
                <w:rFonts w:ascii="Times New Roman" w:hAnsi="Times New Roman" w:eastAsia="宋体" w:cs="Times New Roman"/>
                <w:sz w:val="21"/>
                <w:lang w:val="en-GB" w:eastAsia="zh-CN" w:bidi="ar-SA"/>
              </w:rPr>
            </w:pPr>
            <w:r>
              <w:t>0.045</w:t>
            </w:r>
          </w:p>
        </w:tc>
        <w:tc>
          <w:tcPr>
            <w:vAlign w:val="center"/>
          </w:tcPr>
          <w:p>
            <w:pPr>
              <w:rPr>
                <w:rFonts w:ascii="Times New Roman" w:hAnsi="Times New Roman" w:eastAsia="宋体" w:cs="Times New Roman"/>
                <w:sz w:val="21"/>
                <w:lang w:val="en-GB" w:eastAsia="zh-CN" w:bidi="ar-SA"/>
              </w:rPr>
            </w:pPr>
            <w:r>
              <w:t>0.748</w:t>
            </w:r>
          </w:p>
        </w:tc>
        <w:tc>
          <w:tcPr>
            <w:vAlign w:val="center"/>
          </w:tcPr>
          <w:p>
            <w:pPr>
              <w:rPr>
                <w:rFonts w:ascii="Times New Roman" w:hAnsi="Times New Roman" w:eastAsia="宋体" w:cs="Times New Roman"/>
                <w:sz w:val="21"/>
                <w:lang w:val="en-GB" w:eastAsia="zh-CN" w:bidi="ar-SA"/>
              </w:rPr>
            </w:pPr>
            <w:r>
              <w:t>1.00</w:t>
            </w:r>
          </w:p>
        </w:tc>
        <w:tc>
          <w:tcPr>
            <w:vAlign w:val="center"/>
          </w:tcPr>
          <w:p>
            <w:pPr>
              <w:rPr>
                <w:rFonts w:ascii="Times New Roman" w:hAnsi="Times New Roman" w:eastAsia="宋体" w:cs="Times New Roman"/>
                <w:sz w:val="21"/>
                <w:lang w:val="en-GB" w:eastAsia="zh-CN" w:bidi="ar-SA"/>
              </w:rPr>
            </w:pPr>
            <w:r>
              <w:t>1.556</w:t>
            </w:r>
          </w:p>
        </w:tc>
        <w:tc>
          <w:tcPr>
            <w:vAlign w:val="center"/>
          </w:tcPr>
          <w:p>
            <w:pPr>
              <w:rPr>
                <w:rFonts w:ascii="Times New Roman" w:hAnsi="Times New Roman" w:eastAsia="宋体" w:cs="Times New Roman"/>
                <w:sz w:val="21"/>
                <w:lang w:val="en-GB" w:eastAsia="zh-CN" w:bidi="ar-SA"/>
              </w:rPr>
            </w:pPr>
            <w:r>
              <w:t>1.164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rPr>
                <w:rFonts w:ascii="Times New Roman" w:hAnsi="Times New Roman" w:eastAsia="宋体" w:cs="Times New Roman"/>
                <w:sz w:val="21"/>
                <w:lang w:val="en-GB" w:eastAsia="zh-CN" w:bidi="ar-SA"/>
              </w:rPr>
            </w:pPr>
            <w:r>
              <w:t>聚合物水泥石灰砂浆</w:t>
            </w:r>
          </w:p>
        </w:tc>
        <w:tc>
          <w:tcPr>
            <w:vAlign w:val="center"/>
          </w:tcPr>
          <w:p>
            <w:pPr>
              <w:rPr>
                <w:rFonts w:ascii="Times New Roman" w:hAnsi="Times New Roman" w:eastAsia="宋体" w:cs="Times New Roman"/>
                <w:sz w:val="21"/>
                <w:lang w:val="en-GB" w:eastAsia="zh-CN" w:bidi="ar-SA"/>
              </w:rPr>
            </w:pPr>
            <w:r>
              <w:t>10</w:t>
            </w:r>
          </w:p>
        </w:tc>
        <w:tc>
          <w:tcPr>
            <w:vAlign w:val="center"/>
          </w:tcPr>
          <w:p>
            <w:pPr>
              <w:rPr>
                <w:rFonts w:ascii="Times New Roman" w:hAnsi="Times New Roman" w:eastAsia="宋体" w:cs="Times New Roman"/>
                <w:sz w:val="21"/>
                <w:lang w:val="en-GB" w:eastAsia="zh-CN" w:bidi="ar-SA"/>
              </w:rPr>
            </w:pPr>
            <w:r>
              <w:t>0.930</w:t>
            </w:r>
          </w:p>
        </w:tc>
        <w:tc>
          <w:tcPr>
            <w:vAlign w:val="center"/>
          </w:tcPr>
          <w:p>
            <w:pPr>
              <w:rPr>
                <w:rFonts w:ascii="Times New Roman" w:hAnsi="Times New Roman" w:eastAsia="宋体" w:cs="Times New Roman"/>
                <w:sz w:val="21"/>
                <w:lang w:val="en-GB" w:eastAsia="zh-CN" w:bidi="ar-SA"/>
              </w:rPr>
            </w:pPr>
            <w:r>
              <w:t>11.306</w:t>
            </w:r>
          </w:p>
        </w:tc>
        <w:tc>
          <w:tcPr>
            <w:vAlign w:val="center"/>
          </w:tcPr>
          <w:p>
            <w:pPr>
              <w:rPr>
                <w:rFonts w:ascii="Times New Roman" w:hAnsi="Times New Roman" w:eastAsia="宋体" w:cs="Times New Roman"/>
                <w:sz w:val="21"/>
                <w:lang w:val="en-GB" w:eastAsia="zh-CN" w:bidi="ar-SA"/>
              </w:rPr>
            </w:pPr>
            <w:r>
              <w:t>1.00</w:t>
            </w:r>
          </w:p>
        </w:tc>
        <w:tc>
          <w:tcPr>
            <w:vAlign w:val="center"/>
          </w:tcPr>
          <w:p>
            <w:pPr>
              <w:rPr>
                <w:rFonts w:ascii="Times New Roman" w:hAnsi="Times New Roman" w:eastAsia="宋体" w:cs="Times New Roman"/>
                <w:sz w:val="21"/>
                <w:lang w:val="en-GB" w:eastAsia="zh-CN" w:bidi="ar-SA"/>
              </w:rPr>
            </w:pPr>
            <w:r>
              <w:t>0.011</w:t>
            </w:r>
          </w:p>
        </w:tc>
        <w:tc>
          <w:tcPr>
            <w:vAlign w:val="center"/>
          </w:tcPr>
          <w:p>
            <w:pPr>
              <w:rPr>
                <w:rFonts w:ascii="Times New Roman" w:hAnsi="Times New Roman" w:eastAsia="宋体" w:cs="Times New Roman"/>
                <w:sz w:val="21"/>
                <w:lang w:val="en-GB" w:eastAsia="zh-CN" w:bidi="ar-SA"/>
              </w:rPr>
            </w:pPr>
            <w: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抗裂砂浆（网格布）</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335</w:t>
            </w:r>
          </w:p>
        </w:tc>
        <w:tc>
          <w:tcPr>
            <w:vAlign w:val="center"/>
          </w:tcPr>
          <w:p>
            <w:r>
              <w:t>－</w:t>
            </w:r>
          </w:p>
        </w:tc>
        <w:tc>
          <w:tcPr>
            <w:vAlign w:val="center"/>
          </w:tcPr>
          <w:p>
            <w:r>
              <w:t>－</w:t>
            </w:r>
          </w:p>
        </w:tc>
        <w:tc>
          <w:tcPr>
            <w:vAlign w:val="center"/>
          </w:tcPr>
          <w:p>
            <w:r>
              <w:t>－</w:t>
            </w:r>
          </w:p>
        </w:tc>
        <w:tc>
          <w:tcPr>
            <w:vAlign w:val="center"/>
          </w:tcPr>
          <w:p>
            <w:r>
              <w:t>3.047</w:t>
            </w:r>
          </w:p>
        </w:tc>
        <w:tc>
          <w:tcPr>
            <w:vAlign w:val="center"/>
          </w:tcPr>
          <w:p>
            <w:r>
              <w:t>6.094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0.31</w:t>
            </w:r>
          </w:p>
        </w:tc>
      </w:tr>
    </w:tbl>
    <w:p>
      <w:pPr>
        <w:widowControl w:val="0"/>
        <w:jc w:val="both"/>
      </w:pPr>
    </w:p>
    <w:p>
      <w:pPr>
        <w:pStyle w:val="4"/>
        <w:widowControl w:val="0"/>
        <w:jc w:val="both"/>
      </w:pPr>
      <w:bookmarkStart w:id="60" w:name="_Toc3382"/>
      <w:r>
        <w:t>分户墙</w:t>
      </w:r>
      <w:bookmarkEnd w:id="60"/>
      <w:bookmarkStart w:id="133" w:name="_GoBack"/>
      <w:bookmarkEnd w:id="133"/>
    </w:p>
    <w:p>
      <w:pPr>
        <w:pStyle w:val="5"/>
        <w:widowControl w:val="0"/>
        <w:jc w:val="both"/>
      </w:pPr>
      <w:bookmarkStart w:id="61" w:name="_Toc2008"/>
      <w:r>
        <w:t>户间隔墙构造一</w:t>
      </w:r>
      <w:bookmarkEnd w:id="6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GRC板</w:t>
            </w:r>
          </w:p>
        </w:tc>
        <w:tc>
          <w:tcPr>
            <w:vAlign w:val="center"/>
          </w:tcPr>
          <w:p>
            <w:r>
              <w:t>60</w:t>
            </w:r>
          </w:p>
        </w:tc>
        <w:tc>
          <w:tcPr>
            <w:vAlign w:val="center"/>
          </w:tcPr>
          <w:p>
            <w:r>
              <w:t>0.440</w:t>
            </w:r>
          </w:p>
        </w:tc>
        <w:tc>
          <w:tcPr>
            <w:vAlign w:val="center"/>
          </w:tcPr>
          <w:p>
            <w:r>
              <w:t>1.275</w:t>
            </w:r>
          </w:p>
        </w:tc>
        <w:tc>
          <w:tcPr>
            <w:vAlign w:val="center"/>
          </w:tcPr>
          <w:p>
            <w:r>
              <w:t>1.00</w:t>
            </w:r>
          </w:p>
        </w:tc>
        <w:tc>
          <w:tcPr>
            <w:vAlign w:val="center"/>
          </w:tcPr>
          <w:p>
            <w:r>
              <w:t>0.136</w:t>
            </w:r>
          </w:p>
        </w:tc>
        <w:tc>
          <w:tcPr>
            <w:vAlign w:val="center"/>
          </w:tcPr>
          <w:p>
            <w:r>
              <w:t>0.174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矿棉、岩棉、玻璃棉板(ρ=80-200)</w:t>
            </w:r>
          </w:p>
        </w:tc>
        <w:tc>
          <w:tcPr>
            <w:vAlign w:val="center"/>
          </w:tcPr>
          <w:p>
            <w:r>
              <w:t>50</w:t>
            </w:r>
          </w:p>
        </w:tc>
        <w:tc>
          <w:tcPr>
            <w:vAlign w:val="center"/>
          </w:tcPr>
          <w:p>
            <w:r>
              <w:t>0.045</w:t>
            </w:r>
          </w:p>
        </w:tc>
        <w:tc>
          <w:tcPr>
            <w:vAlign w:val="center"/>
          </w:tcPr>
          <w:p>
            <w:r>
              <w:t>0.748</w:t>
            </w:r>
          </w:p>
        </w:tc>
        <w:tc>
          <w:tcPr>
            <w:vAlign w:val="center"/>
          </w:tcPr>
          <w:p>
            <w:r>
              <w:t>1.00</w:t>
            </w:r>
          </w:p>
        </w:tc>
        <w:tc>
          <w:tcPr>
            <w:vAlign w:val="center"/>
          </w:tcPr>
          <w:p>
            <w:r>
              <w:t>1.111</w:t>
            </w:r>
          </w:p>
        </w:tc>
        <w:tc>
          <w:tcPr>
            <w:vAlign w:val="center"/>
          </w:tcPr>
          <w:p>
            <w:r>
              <w:t>0.831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GRC板</w:t>
            </w:r>
          </w:p>
        </w:tc>
        <w:tc>
          <w:tcPr>
            <w:vAlign w:val="center"/>
          </w:tcPr>
          <w:p>
            <w:r>
              <w:t>60</w:t>
            </w:r>
          </w:p>
        </w:tc>
        <w:tc>
          <w:tcPr>
            <w:vAlign w:val="center"/>
          </w:tcPr>
          <w:p>
            <w:r>
              <w:t>0.440</w:t>
            </w:r>
          </w:p>
        </w:tc>
        <w:tc>
          <w:tcPr>
            <w:vAlign w:val="center"/>
          </w:tcPr>
          <w:p>
            <w:r>
              <w:t>1.275</w:t>
            </w:r>
          </w:p>
        </w:tc>
        <w:tc>
          <w:tcPr>
            <w:vAlign w:val="center"/>
          </w:tcPr>
          <w:p>
            <w:r>
              <w:t>1.00</w:t>
            </w:r>
          </w:p>
        </w:tc>
        <w:tc>
          <w:tcPr>
            <w:vAlign w:val="center"/>
          </w:tcPr>
          <w:p>
            <w:r>
              <w:t>0.136</w:t>
            </w:r>
          </w:p>
        </w:tc>
        <w:tc>
          <w:tcPr>
            <w:vAlign w:val="center"/>
          </w:tcPr>
          <w:p>
            <w:r>
              <w:t>0.174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210</w:t>
            </w:r>
          </w:p>
        </w:tc>
        <w:tc>
          <w:tcPr>
            <w:vAlign w:val="center"/>
          </w:tcPr>
          <w:p>
            <w:r>
              <w:t>－</w:t>
            </w:r>
          </w:p>
        </w:tc>
        <w:tc>
          <w:tcPr>
            <w:vAlign w:val="center"/>
          </w:tcPr>
          <w:p>
            <w:r>
              <w:t>－</w:t>
            </w:r>
          </w:p>
        </w:tc>
        <w:tc>
          <w:tcPr>
            <w:vAlign w:val="center"/>
          </w:tcPr>
          <w:p>
            <w:r>
              <w:t>－</w:t>
            </w:r>
          </w:p>
        </w:tc>
        <w:tc>
          <w:tcPr>
            <w:vAlign w:val="center"/>
          </w:tcPr>
          <w:p>
            <w:r>
              <w:t>1.430</w:t>
            </w:r>
          </w:p>
        </w:tc>
        <w:tc>
          <w:tcPr>
            <w:vAlign w:val="center"/>
          </w:tcPr>
          <w:p>
            <w:r>
              <w:t>1.673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0.61</w:t>
            </w:r>
          </w:p>
        </w:tc>
      </w:tr>
    </w:tbl>
    <w:p>
      <w:pPr>
        <w:widowControl w:val="0"/>
        <w:jc w:val="both"/>
      </w:pPr>
    </w:p>
    <w:p>
      <w:pPr>
        <w:pStyle w:val="4"/>
        <w:widowControl w:val="0"/>
        <w:jc w:val="both"/>
      </w:pPr>
      <w:bookmarkStart w:id="62" w:name="_Toc28769"/>
      <w:r>
        <w:t>楼梯间隔墙或封闭外走廊隔墙</w:t>
      </w:r>
      <w:bookmarkEnd w:id="62"/>
    </w:p>
    <w:p>
      <w:pPr>
        <w:pStyle w:val="5"/>
        <w:widowControl w:val="0"/>
        <w:jc w:val="both"/>
      </w:pPr>
      <w:bookmarkStart w:id="63" w:name="_Toc31339"/>
      <w:r>
        <w:t>楼梯间隔墙</w:t>
      </w:r>
      <w:bookmarkEnd w:id="6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蒸压加气混凝土砌块（B07）</w:t>
            </w:r>
          </w:p>
        </w:tc>
        <w:tc>
          <w:tcPr>
            <w:vAlign w:val="center"/>
          </w:tcPr>
          <w:p>
            <w:r>
              <w:t>200</w:t>
            </w:r>
          </w:p>
        </w:tc>
        <w:tc>
          <w:tcPr>
            <w:vAlign w:val="center"/>
          </w:tcPr>
          <w:p>
            <w:r>
              <w:t>0.180</w:t>
            </w:r>
          </w:p>
        </w:tc>
        <w:tc>
          <w:tcPr>
            <w:vAlign w:val="center"/>
          </w:tcPr>
          <w:p>
            <w:r>
              <w:t>3.590</w:t>
            </w:r>
          </w:p>
        </w:tc>
        <w:tc>
          <w:tcPr>
            <w:vAlign w:val="center"/>
          </w:tcPr>
          <w:p>
            <w:r>
              <w:t>1.25</w:t>
            </w:r>
          </w:p>
        </w:tc>
        <w:tc>
          <w:tcPr>
            <w:vAlign w:val="center"/>
          </w:tcPr>
          <w:p>
            <w:r>
              <w:t>0.889</w:t>
            </w:r>
          </w:p>
        </w:tc>
        <w:tc>
          <w:tcPr>
            <w:vAlign w:val="center"/>
          </w:tcPr>
          <w:p>
            <w:r>
              <w:t>3.989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240</w:t>
            </w:r>
          </w:p>
        </w:tc>
        <w:tc>
          <w:tcPr>
            <w:vAlign w:val="center"/>
          </w:tcPr>
          <w:p>
            <w:r>
              <w:t>－</w:t>
            </w:r>
          </w:p>
        </w:tc>
        <w:tc>
          <w:tcPr>
            <w:vAlign w:val="center"/>
          </w:tcPr>
          <w:p>
            <w:r>
              <w:t>－</w:t>
            </w:r>
          </w:p>
        </w:tc>
        <w:tc>
          <w:tcPr>
            <w:vAlign w:val="center"/>
          </w:tcPr>
          <w:p>
            <w:r>
              <w:t>－</w:t>
            </w:r>
          </w:p>
        </w:tc>
        <w:tc>
          <w:tcPr>
            <w:vAlign w:val="center"/>
          </w:tcPr>
          <w:p>
            <w:r>
              <w:t>0.935</w:t>
            </w:r>
          </w:p>
        </w:tc>
        <w:tc>
          <w:tcPr>
            <w:vAlign w:val="center"/>
          </w:tcPr>
          <w:p>
            <w:r>
              <w:t>4.483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0.87</w:t>
            </w:r>
          </w:p>
        </w:tc>
      </w:tr>
    </w:tbl>
    <w:p>
      <w:pPr>
        <w:widowControl w:val="0"/>
        <w:jc w:val="both"/>
      </w:pPr>
    </w:p>
    <w:p>
      <w:pPr>
        <w:pStyle w:val="4"/>
        <w:widowControl w:val="0"/>
        <w:jc w:val="both"/>
      </w:pPr>
      <w:bookmarkStart w:id="64" w:name="_Toc9167"/>
      <w:r>
        <w:t>楼板</w:t>
      </w:r>
      <w:bookmarkEnd w:id="64"/>
    </w:p>
    <w:p>
      <w:pPr>
        <w:pStyle w:val="5"/>
        <w:widowControl w:val="0"/>
        <w:jc w:val="both"/>
      </w:pPr>
      <w:bookmarkStart w:id="65" w:name="_Toc32193"/>
      <w:r>
        <w:t>控温房间楼板构造一</w:t>
      </w:r>
      <w:bookmarkEnd w:id="6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C20细石混凝土(ρ=2300)</w:t>
            </w:r>
          </w:p>
        </w:tc>
        <w:tc>
          <w:tcPr>
            <w:vAlign w:val="center"/>
          </w:tcPr>
          <w:p>
            <w:r>
              <w:t>20</w:t>
            </w:r>
          </w:p>
        </w:tc>
        <w:tc>
          <w:tcPr>
            <w:vAlign w:val="center"/>
          </w:tcPr>
          <w:p>
            <w:r>
              <w:t>1.510</w:t>
            </w:r>
          </w:p>
        </w:tc>
        <w:tc>
          <w:tcPr>
            <w:vAlign w:val="center"/>
          </w:tcPr>
          <w:p>
            <w:r>
              <w:t>15.243</w:t>
            </w:r>
          </w:p>
        </w:tc>
        <w:tc>
          <w:tcPr>
            <w:vAlign w:val="center"/>
          </w:tcPr>
          <w:p>
            <w:r>
              <w:t>1.00</w:t>
            </w:r>
          </w:p>
        </w:tc>
        <w:tc>
          <w:tcPr>
            <w:vAlign w:val="center"/>
          </w:tcPr>
          <w:p>
            <w:r>
              <w:t>0.013</w:t>
            </w:r>
          </w:p>
        </w:tc>
        <w:tc>
          <w:tcPr>
            <w:vAlign w:val="center"/>
          </w:tcPr>
          <w:p>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无机轻集料保温浆料Ⅰ型</w:t>
            </w:r>
          </w:p>
        </w:tc>
        <w:tc>
          <w:tcPr>
            <w:vAlign w:val="center"/>
          </w:tcPr>
          <w:p>
            <w:r>
              <w:t>20</w:t>
            </w:r>
          </w:p>
        </w:tc>
        <w:tc>
          <w:tcPr>
            <w:vAlign w:val="center"/>
          </w:tcPr>
          <w:p>
            <w:r>
              <w:t>0.070</w:t>
            </w:r>
          </w:p>
        </w:tc>
        <w:tc>
          <w:tcPr>
            <w:vAlign w:val="center"/>
          </w:tcPr>
          <w:p>
            <w:r>
              <w:t>1.200</w:t>
            </w:r>
          </w:p>
        </w:tc>
        <w:tc>
          <w:tcPr>
            <w:vAlign w:val="center"/>
          </w:tcPr>
          <w:p>
            <w:r>
              <w:t>1.25</w:t>
            </w:r>
          </w:p>
        </w:tc>
        <w:tc>
          <w:tcPr>
            <w:vAlign w:val="center"/>
          </w:tcPr>
          <w:p>
            <w:r>
              <w:t>0.229</w:t>
            </w:r>
          </w:p>
        </w:tc>
        <w:tc>
          <w:tcPr>
            <w:vAlign w:val="center"/>
          </w:tcPr>
          <w:p>
            <w:r>
              <w:t>0.343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空气间层(30mm)</w:t>
            </w:r>
          </w:p>
        </w:tc>
        <w:tc>
          <w:tcPr>
            <w:vAlign w:val="center"/>
          </w:tcPr>
          <w:p>
            <w:r>
              <w:t>20</w:t>
            </w:r>
          </w:p>
        </w:tc>
        <w:tc>
          <w:tcPr>
            <w:vAlign w:val="center"/>
          </w:tcPr>
          <w:p>
            <w:r>
              <w:t>0.186</w:t>
            </w:r>
          </w:p>
        </w:tc>
        <w:tc>
          <w:tcPr>
            <w:vAlign w:val="center"/>
          </w:tcPr>
          <w:p>
            <w:r>
              <w:t>0.171</w:t>
            </w:r>
          </w:p>
        </w:tc>
        <w:tc>
          <w:tcPr>
            <w:vAlign w:val="center"/>
          </w:tcPr>
          <w:p>
            <w:r>
              <w:t>1.00</w:t>
            </w:r>
          </w:p>
        </w:tc>
        <w:tc>
          <w:tcPr>
            <w:vAlign w:val="center"/>
          </w:tcPr>
          <w:p>
            <w:r>
              <w:t>0.108</w:t>
            </w:r>
          </w:p>
        </w:tc>
        <w:tc>
          <w:tcPr>
            <w:vAlign w:val="center"/>
          </w:tcPr>
          <w:p>
            <w:r>
              <w:t>0.018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石膏板</w:t>
            </w:r>
          </w:p>
        </w:tc>
        <w:tc>
          <w:tcPr>
            <w:vAlign w:val="center"/>
          </w:tcPr>
          <w:p>
            <w:r>
              <w:t>9</w:t>
            </w:r>
          </w:p>
        </w:tc>
        <w:tc>
          <w:tcPr>
            <w:vAlign w:val="center"/>
          </w:tcPr>
          <w:p>
            <w:r>
              <w:t>0.330</w:t>
            </w:r>
          </w:p>
        </w:tc>
        <w:tc>
          <w:tcPr>
            <w:vAlign w:val="center"/>
          </w:tcPr>
          <w:p>
            <w:r>
              <w:t>5.144</w:t>
            </w:r>
          </w:p>
        </w:tc>
        <w:tc>
          <w:tcPr>
            <w:vAlign w:val="center"/>
          </w:tcPr>
          <w:p>
            <w:r>
              <w:t>1.00</w:t>
            </w:r>
          </w:p>
        </w:tc>
        <w:tc>
          <w:tcPr>
            <w:vAlign w:val="center"/>
          </w:tcPr>
          <w:p>
            <w:r>
              <w:t>0.027</w:t>
            </w:r>
          </w:p>
        </w:tc>
        <w:tc>
          <w:tcPr>
            <w:vAlign w:val="center"/>
          </w:tcPr>
          <w:p>
            <w:r>
              <w:t>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189</w:t>
            </w:r>
          </w:p>
        </w:tc>
        <w:tc>
          <w:tcPr>
            <w:vAlign w:val="center"/>
          </w:tcPr>
          <w:p>
            <w:r>
              <w:t>－</w:t>
            </w:r>
          </w:p>
        </w:tc>
        <w:tc>
          <w:tcPr>
            <w:vAlign w:val="center"/>
          </w:tcPr>
          <w:p>
            <w:r>
              <w:t>－</w:t>
            </w:r>
          </w:p>
        </w:tc>
        <w:tc>
          <w:tcPr>
            <w:vAlign w:val="center"/>
          </w:tcPr>
          <w:p>
            <w:r>
              <w:t>－</w:t>
            </w:r>
          </w:p>
        </w:tc>
        <w:tc>
          <w:tcPr>
            <w:vAlign w:val="center"/>
          </w:tcPr>
          <w:p>
            <w:r>
              <w:t>0.446</w:t>
            </w:r>
          </w:p>
        </w:tc>
        <w:tc>
          <w:tcPr>
            <w:vAlign w:val="center"/>
          </w:tcPr>
          <w:p>
            <w:r>
              <w:t>1.890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传热系数K=1/(0.22+∑R)</w:t>
            </w:r>
          </w:p>
        </w:tc>
        <w:tc>
          <w:tcPr>
            <w:gridSpan w:val="6"/>
          </w:tcPr>
          <w:p>
            <w:pPr>
              <w:jc w:val="center"/>
            </w:pPr>
            <w:r>
              <w:t>1.50</w:t>
            </w:r>
          </w:p>
        </w:tc>
      </w:tr>
    </w:tbl>
    <w:p>
      <w:pPr>
        <w:widowControl w:val="0"/>
        <w:jc w:val="both"/>
      </w:pPr>
    </w:p>
    <w:p>
      <w:pPr>
        <w:pStyle w:val="4"/>
      </w:pPr>
      <w:bookmarkStart w:id="66" w:name="_Toc12621"/>
      <w:r>
        <w:t>外窗热工</w:t>
      </w:r>
      <w:bookmarkEnd w:id="66"/>
    </w:p>
    <w:p>
      <w:pPr>
        <w:pStyle w:val="5"/>
      </w:pPr>
      <w:bookmarkStart w:id="67" w:name="_Toc8479"/>
      <w:r>
        <w:t>外窗构造</w:t>
      </w:r>
      <w:bookmarkEnd w:id="6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867"/>
        <w:gridCol w:w="826"/>
        <w:gridCol w:w="832"/>
        <w:gridCol w:w="956"/>
        <w:gridCol w:w="956"/>
        <w:gridCol w:w="29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构造编号</w:t>
            </w:r>
          </w:p>
        </w:tc>
        <w:tc>
          <w:tcPr>
            <w:shd w:val="clear" w:color="auto" w:fill="E6E6E6"/>
            <w:vAlign w:val="center"/>
          </w:tcPr>
          <w:p>
            <w:pPr>
              <w:jc w:val="center"/>
            </w:pPr>
            <w:r>
              <w:t>传热系数</w:t>
            </w:r>
          </w:p>
        </w:tc>
        <w:tc>
          <w:tcPr>
            <w:shd w:val="clear" w:color="auto" w:fill="E6E6E6"/>
            <w:vAlign w:val="center"/>
          </w:tcPr>
          <w:p>
            <w:pPr>
              <w:jc w:val="center"/>
            </w:pPr>
            <w:r>
              <w:t>自遮阳系数</w:t>
            </w:r>
          </w:p>
        </w:tc>
        <w:tc>
          <w:tcPr>
            <w:shd w:val="clear" w:color="auto" w:fill="E6E6E6"/>
            <w:vAlign w:val="center"/>
          </w:tcPr>
          <w:p>
            <w:pPr>
              <w:jc w:val="center"/>
            </w:pPr>
            <w:r>
              <w:t>可见光透射比</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6较低透光Low-E+12空气+6透明-塑料窗框</w:t>
            </w:r>
          </w:p>
        </w:tc>
        <w:tc>
          <w:tcPr>
            <w:vAlign w:val="center"/>
          </w:tcPr>
          <w:p>
            <w:r>
              <w:t>103</w:t>
            </w:r>
          </w:p>
        </w:tc>
        <w:tc>
          <w:tcPr>
            <w:vAlign w:val="center"/>
          </w:tcPr>
          <w:p>
            <w:r>
              <w:t>2.00</w:t>
            </w:r>
          </w:p>
        </w:tc>
        <w:tc>
          <w:tcPr>
            <w:vAlign w:val="center"/>
          </w:tcPr>
          <w:p>
            <w:r>
              <w:t>0.29</w:t>
            </w:r>
          </w:p>
        </w:tc>
        <w:tc>
          <w:tcPr>
            <w:vAlign w:val="center"/>
          </w:tcPr>
          <w:p>
            <w:r>
              <w:t>1.000</w:t>
            </w:r>
          </w:p>
        </w:tc>
        <w:tc>
          <w:tcPr>
            <w:vAlign w:val="center"/>
          </w:tcPr>
          <w:p>
            <w:r>
              <w:t>摘自《全国民用建筑工程设计技术措施——节能专篇》，窗框面积约25%</w:t>
            </w:r>
          </w:p>
        </w:tc>
      </w:tr>
    </w:tbl>
    <w:p>
      <w:pPr>
        <w:pStyle w:val="5"/>
      </w:pPr>
      <w:bookmarkStart w:id="68" w:name="_Toc1362"/>
      <w:r>
        <w:t>总体热工性能</w:t>
      </w:r>
      <w:bookmarkEnd w:id="6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3"/>
        <w:gridCol w:w="2009"/>
        <w:gridCol w:w="2037"/>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房间编号</w:t>
            </w:r>
          </w:p>
        </w:tc>
        <w:tc>
          <w:tcPr>
            <w:shd w:val="clear" w:color="auto" w:fill="E6E6E6"/>
            <w:vAlign w:val="center"/>
          </w:tcPr>
          <w:p>
            <w:pPr>
              <w:jc w:val="center"/>
            </w:pPr>
            <w:r>
              <w:t>窗构造</w:t>
            </w:r>
            <w:r>
              <w:br w:type="textWrapping"/>
            </w:r>
            <w:r>
              <w:t>编号</w:t>
            </w:r>
          </w:p>
        </w:tc>
        <w:tc>
          <w:tcPr>
            <w:shd w:val="clear" w:color="auto" w:fill="E6E6E6"/>
            <w:vAlign w:val="center"/>
          </w:tcPr>
          <w:p>
            <w:pPr>
              <w:jc w:val="center"/>
            </w:pPr>
            <w:r>
              <w:t>K值</w:t>
            </w:r>
          </w:p>
        </w:tc>
        <w:tc>
          <w:tcPr>
            <w:shd w:val="clear" w:color="auto" w:fill="E6E6E6"/>
            <w:vAlign w:val="center"/>
          </w:tcPr>
          <w:p>
            <w:pPr>
              <w:jc w:val="center"/>
            </w:pPr>
            <w:r>
              <w:t>K限值</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南向</w:t>
            </w:r>
          </w:p>
        </w:tc>
        <w:tc>
          <w:tcPr>
            <w:vAlign w:val="center"/>
          </w:tcPr>
          <w:p>
            <w:r>
              <w:t>1001@1</w:t>
            </w:r>
          </w:p>
        </w:tc>
        <w:tc>
          <w:tcPr>
            <w:vAlign w:val="center"/>
          </w:tcPr>
          <w:p>
            <w:r>
              <w:t>103</w:t>
            </w:r>
          </w:p>
        </w:tc>
        <w:tc>
          <w:tcPr>
            <w:vAlign w:val="center"/>
          </w:tcPr>
          <w:p>
            <w:r>
              <w:t>2.00</w:t>
            </w:r>
          </w:p>
        </w:tc>
        <w:tc>
          <w:tcPr>
            <w:vAlign w:val="center"/>
          </w:tcPr>
          <w:p>
            <w:r>
              <w:t>4.00</w:t>
            </w:r>
          </w:p>
        </w:tc>
        <w:tc>
          <w:tcPr>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1002@1</w:t>
            </w:r>
          </w:p>
        </w:tc>
        <w:tc>
          <w:tcPr>
            <w:vAlign w:val="center"/>
          </w:tcPr>
          <w:p>
            <w:r>
              <w:t>103</w:t>
            </w:r>
          </w:p>
        </w:tc>
        <w:tc>
          <w:tcPr>
            <w:vAlign w:val="center"/>
          </w:tcPr>
          <w:p>
            <w:r>
              <w:t>2.00</w:t>
            </w:r>
          </w:p>
        </w:tc>
        <w:tc>
          <w:tcPr>
            <w:vAlign w:val="center"/>
          </w:tcPr>
          <w:p>
            <w:r>
              <w:t>2.80</w:t>
            </w:r>
          </w:p>
        </w:tc>
        <w:tc>
          <w:tcPr>
            <w:vAlign w:val="center"/>
          </w:tcPr>
          <w:p>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1003@1</w:t>
            </w:r>
          </w:p>
        </w:tc>
        <w:tc>
          <w:tcPr>
            <w:vAlign w:val="center"/>
          </w:tcPr>
          <w:p>
            <w:r>
              <w:t>103</w:t>
            </w:r>
          </w:p>
        </w:tc>
        <w:tc>
          <w:tcPr>
            <w:vAlign w:val="center"/>
          </w:tcPr>
          <w:p>
            <w:r>
              <w:t>2.00</w:t>
            </w:r>
          </w:p>
        </w:tc>
        <w:tc>
          <w:tcPr>
            <w:vAlign w:val="center"/>
          </w:tcPr>
          <w:p>
            <w:r>
              <w:t>2.80</w:t>
            </w:r>
          </w:p>
        </w:tc>
        <w:tc>
          <w:tcPr>
            <w:vAlign w:val="center"/>
          </w:tcPr>
          <w:p>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1004@1</w:t>
            </w:r>
          </w:p>
        </w:tc>
        <w:tc>
          <w:tcPr>
            <w:vAlign w:val="center"/>
          </w:tcPr>
          <w:p>
            <w:r>
              <w:t>103</w:t>
            </w:r>
          </w:p>
        </w:tc>
        <w:tc>
          <w:tcPr>
            <w:vAlign w:val="center"/>
          </w:tcPr>
          <w:p>
            <w:r>
              <w:t>2.00</w:t>
            </w:r>
          </w:p>
        </w:tc>
        <w:tc>
          <w:tcPr>
            <w:vAlign w:val="center"/>
          </w:tcPr>
          <w:p>
            <w:r>
              <w:t>4.00</w:t>
            </w:r>
          </w:p>
        </w:tc>
        <w:tc>
          <w:tcPr>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1005@1</w:t>
            </w:r>
          </w:p>
        </w:tc>
        <w:tc>
          <w:tcPr>
            <w:vAlign w:val="center"/>
          </w:tcPr>
          <w:p>
            <w:r>
              <w:t>103</w:t>
            </w:r>
          </w:p>
        </w:tc>
        <w:tc>
          <w:tcPr>
            <w:vAlign w:val="center"/>
          </w:tcPr>
          <w:p>
            <w:r>
              <w:t>2.00</w:t>
            </w:r>
          </w:p>
        </w:tc>
        <w:tc>
          <w:tcPr>
            <w:vAlign w:val="center"/>
          </w:tcPr>
          <w:p>
            <w:r>
              <w:t>3.20</w:t>
            </w:r>
          </w:p>
        </w:tc>
        <w:tc>
          <w:tcPr>
            <w:vAlign w:val="center"/>
          </w:tcPr>
          <w:p>
            <w:r>
              <w:t>0.38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1006@1</w:t>
            </w:r>
          </w:p>
        </w:tc>
        <w:tc>
          <w:tcPr>
            <w:vAlign w:val="center"/>
          </w:tcPr>
          <w:p>
            <w:r>
              <w:t>103</w:t>
            </w:r>
          </w:p>
        </w:tc>
        <w:tc>
          <w:tcPr>
            <w:vAlign w:val="center"/>
          </w:tcPr>
          <w:p>
            <w:r>
              <w:t>2.00</w:t>
            </w:r>
          </w:p>
        </w:tc>
        <w:tc>
          <w:tcPr>
            <w:vAlign w:val="center"/>
          </w:tcPr>
          <w:p>
            <w:r>
              <w:t>3.20</w:t>
            </w:r>
          </w:p>
        </w:tc>
        <w:tc>
          <w:tcPr>
            <w:vAlign w:val="center"/>
          </w:tcPr>
          <w:p>
            <w:r>
              <w:t>0.38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北向</w:t>
            </w:r>
          </w:p>
        </w:tc>
        <w:tc>
          <w:tcPr>
            <w:vAlign w:val="center"/>
          </w:tcPr>
          <w:p>
            <w:r>
              <w:t>1010@1</w:t>
            </w:r>
          </w:p>
        </w:tc>
        <w:tc>
          <w:tcPr>
            <w:vAlign w:val="center"/>
          </w:tcPr>
          <w:p>
            <w:r>
              <w:t>103</w:t>
            </w:r>
          </w:p>
        </w:tc>
        <w:tc>
          <w:tcPr>
            <w:vAlign w:val="center"/>
          </w:tcPr>
          <w:p>
            <w:r>
              <w:t>2.00</w:t>
            </w:r>
          </w:p>
        </w:tc>
        <w:tc>
          <w:tcPr>
            <w:vAlign w:val="center"/>
          </w:tcPr>
          <w:p>
            <w:r>
              <w:t>4.00</w:t>
            </w:r>
          </w:p>
        </w:tc>
        <w:tc>
          <w:tcPr>
            <w:vAlign w:val="center"/>
          </w:tcPr>
          <w:p>
            <w:r>
              <w:t>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1011@1</w:t>
            </w:r>
          </w:p>
        </w:tc>
        <w:tc>
          <w:tcPr>
            <w:vAlign w:val="center"/>
          </w:tcPr>
          <w:p>
            <w:r>
              <w:t>103</w:t>
            </w:r>
          </w:p>
        </w:tc>
        <w:tc>
          <w:tcPr>
            <w:vAlign w:val="center"/>
          </w:tcPr>
          <w:p>
            <w:r>
              <w:t>2.00</w:t>
            </w:r>
          </w:p>
        </w:tc>
        <w:tc>
          <w:tcPr>
            <w:vAlign w:val="center"/>
          </w:tcPr>
          <w:p>
            <w:r>
              <w:t>3.20</w:t>
            </w:r>
          </w:p>
        </w:tc>
        <w:tc>
          <w:tcPr>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1012@1</w:t>
            </w:r>
          </w:p>
        </w:tc>
        <w:tc>
          <w:tcPr>
            <w:vAlign w:val="center"/>
          </w:tcPr>
          <w:p>
            <w:r>
              <w:t>103</w:t>
            </w:r>
          </w:p>
        </w:tc>
        <w:tc>
          <w:tcPr>
            <w:vAlign w:val="center"/>
          </w:tcPr>
          <w:p>
            <w:r>
              <w:t>2.00</w:t>
            </w:r>
          </w:p>
        </w:tc>
        <w:tc>
          <w:tcPr>
            <w:vAlign w:val="center"/>
          </w:tcPr>
          <w:p>
            <w:r>
              <w:t>4.00</w:t>
            </w:r>
          </w:p>
        </w:tc>
        <w:tc>
          <w:tcPr>
            <w:vAlign w:val="center"/>
          </w:tcPr>
          <w:p>
            <w:r>
              <w:t>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1013@1</w:t>
            </w:r>
          </w:p>
        </w:tc>
        <w:tc>
          <w:tcPr>
            <w:vAlign w:val="center"/>
          </w:tcPr>
          <w:p>
            <w:r>
              <w:t>103</w:t>
            </w:r>
          </w:p>
        </w:tc>
        <w:tc>
          <w:tcPr>
            <w:vAlign w:val="center"/>
          </w:tcPr>
          <w:p>
            <w:r>
              <w:t>2.00</w:t>
            </w:r>
          </w:p>
        </w:tc>
        <w:tc>
          <w:tcPr>
            <w:vAlign w:val="center"/>
          </w:tcPr>
          <w:p>
            <w:r>
              <w:t>4.00</w:t>
            </w:r>
          </w:p>
        </w:tc>
        <w:tc>
          <w:tcPr>
            <w:vAlign w:val="center"/>
          </w:tcPr>
          <w:p>
            <w:r>
              <w:t>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1014@1</w:t>
            </w:r>
          </w:p>
        </w:tc>
        <w:tc>
          <w:tcPr>
            <w:vAlign w:val="center"/>
          </w:tcPr>
          <w:p>
            <w:r>
              <w:t>103</w:t>
            </w:r>
          </w:p>
        </w:tc>
        <w:tc>
          <w:tcPr>
            <w:vAlign w:val="center"/>
          </w:tcPr>
          <w:p>
            <w:r>
              <w:t>2.00</w:t>
            </w:r>
          </w:p>
        </w:tc>
        <w:tc>
          <w:tcPr>
            <w:vAlign w:val="center"/>
          </w:tcPr>
          <w:p>
            <w:r>
              <w:t>4.00</w:t>
            </w:r>
          </w:p>
        </w:tc>
        <w:tc>
          <w:tcPr>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1015@1</w:t>
            </w:r>
          </w:p>
        </w:tc>
        <w:tc>
          <w:tcPr>
            <w:vAlign w:val="center"/>
          </w:tcPr>
          <w:p>
            <w:r>
              <w:t>103</w:t>
            </w:r>
          </w:p>
        </w:tc>
        <w:tc>
          <w:tcPr>
            <w:vAlign w:val="center"/>
          </w:tcPr>
          <w:p>
            <w:r>
              <w:t>2.00</w:t>
            </w:r>
          </w:p>
        </w:tc>
        <w:tc>
          <w:tcPr>
            <w:vAlign w:val="center"/>
          </w:tcPr>
          <w:p>
            <w:r>
              <w:t>4.00</w:t>
            </w:r>
          </w:p>
        </w:tc>
        <w:tc>
          <w:tcPr>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1016@1</w:t>
            </w:r>
          </w:p>
        </w:tc>
        <w:tc>
          <w:tcPr>
            <w:vAlign w:val="center"/>
          </w:tcPr>
          <w:p>
            <w:r>
              <w:t>103</w:t>
            </w:r>
          </w:p>
        </w:tc>
        <w:tc>
          <w:tcPr>
            <w:vAlign w:val="center"/>
          </w:tcPr>
          <w:p>
            <w:r>
              <w:t>2.00</w:t>
            </w:r>
          </w:p>
        </w:tc>
        <w:tc>
          <w:tcPr>
            <w:vAlign w:val="center"/>
          </w:tcPr>
          <w:p>
            <w:r>
              <w:t>4.00</w:t>
            </w:r>
          </w:p>
        </w:tc>
        <w:tc>
          <w:tcPr>
            <w:vAlign w:val="center"/>
          </w:tcPr>
          <w:p>
            <w:r>
              <w:t>0.21</w:t>
            </w:r>
          </w:p>
        </w:tc>
      </w:tr>
    </w:tbl>
    <w:p>
      <w:pPr>
        <w:pStyle w:val="5"/>
      </w:pPr>
      <w:bookmarkStart w:id="69" w:name="_Toc1266"/>
      <w:r>
        <w:t>外遮阳类型</w:t>
      </w:r>
      <w:bookmarkEnd w:id="69"/>
    </w:p>
    <w:p>
      <w:pPr>
        <w:pStyle w:val="6"/>
      </w:pPr>
      <w:r>
        <w:t>平板遮阳</w:t>
      </w:r>
    </w:p>
    <w:p>
      <w:r>
        <w:drawing>
          <wp:inline distT="0" distB="0" distL="0" distR="0">
            <wp:extent cx="3133725" cy="219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8"/>
                    <a:stretch>
                      <a:fillRect/>
                    </a:stretch>
                  </pic:blipFill>
                  <pic:spPr>
                    <a:xfrm>
                      <a:off x="0" y="0"/>
                      <a:ext cx="3134054" cy="2190980"/>
                    </a:xfrm>
                    <a:prstGeom prst="rect">
                      <a:avLst/>
                    </a:prstGeom>
                  </pic:spPr>
                </pic:pic>
              </a:graphicData>
            </a:graphic>
          </wp:inline>
        </w:drawing>
      </w:r>
    </w:p>
    <w:tbl>
      <w:tblPr>
        <w:tblStyle w:val="19"/>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562"/>
        <w:gridCol w:w="1018"/>
        <w:gridCol w:w="1018"/>
        <w:gridCol w:w="1018"/>
        <w:gridCol w:w="1018"/>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编号</w:t>
            </w:r>
          </w:p>
        </w:tc>
        <w:tc>
          <w:tcPr>
            <w:shd w:val="clear" w:color="auto" w:fill="E6E6E6"/>
            <w:vAlign w:val="center"/>
          </w:tcPr>
          <w:p>
            <w:pPr>
              <w:jc w:val="center"/>
            </w:pPr>
            <w:r>
              <w:t>水平挑出Ah (m)</w:t>
            </w:r>
          </w:p>
        </w:tc>
        <w:tc>
          <w:tcPr>
            <w:shd w:val="clear" w:color="auto" w:fill="E6E6E6"/>
            <w:vAlign w:val="center"/>
          </w:tcPr>
          <w:p>
            <w:pPr>
              <w:jc w:val="center"/>
            </w:pPr>
            <w:r>
              <w:t>距离上沿Eh (m)</w:t>
            </w:r>
          </w:p>
        </w:tc>
        <w:tc>
          <w:tcPr>
            <w:shd w:val="clear" w:color="auto" w:fill="E6E6E6"/>
            <w:vAlign w:val="center"/>
          </w:tcPr>
          <w:p>
            <w:pPr>
              <w:jc w:val="center"/>
            </w:pPr>
            <w:r>
              <w:t>垂直挑出Av (m)</w:t>
            </w:r>
          </w:p>
        </w:tc>
        <w:tc>
          <w:tcPr>
            <w:shd w:val="clear" w:color="auto" w:fill="E6E6E6"/>
            <w:vAlign w:val="center"/>
          </w:tcPr>
          <w:p>
            <w:pPr>
              <w:jc w:val="center"/>
            </w:pPr>
            <w:r>
              <w:t>距离边沿Ev (m)</w:t>
            </w:r>
          </w:p>
        </w:tc>
        <w:tc>
          <w:tcPr>
            <w:shd w:val="clear" w:color="auto" w:fill="E6E6E6"/>
            <w:vAlign w:val="center"/>
          </w:tcPr>
          <w:p>
            <w:pPr>
              <w:jc w:val="center"/>
            </w:pPr>
            <w:r>
              <w:t>挡板高Dh (m)</w:t>
            </w:r>
          </w:p>
        </w:tc>
        <w:tc>
          <w:tcPr>
            <w:shd w:val="clear" w:color="auto" w:fill="E6E6E6"/>
            <w:vAlign w:val="center"/>
          </w:tcPr>
          <w:p>
            <w:pPr>
              <w:jc w:val="center"/>
            </w:pPr>
            <w:r>
              <w:t>挡板透射η*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平板遮阳0</w:t>
            </w:r>
          </w:p>
        </w:tc>
        <w:tc>
          <w:tcPr>
            <w:vAlign w:val="center"/>
          </w:tcPr>
          <w:p>
            <w:r>
              <w:t>0.500</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r>
              <w:t>0.000</w:t>
            </w:r>
          </w:p>
        </w:tc>
      </w:tr>
    </w:tbl>
    <w:p>
      <w:pPr>
        <w:pStyle w:val="5"/>
      </w:pPr>
      <w:bookmarkStart w:id="70" w:name="_Toc27610"/>
      <w:r>
        <w:t>平均遮阳系数</w:t>
      </w:r>
      <w:bookmarkEnd w:id="70"/>
    </w:p>
    <w:p>
      <w:r>
        <w:t>1. 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C3415</w:t>
            </w:r>
          </w:p>
        </w:tc>
        <w:tc>
          <w:tcPr>
            <w:vAlign w:val="center"/>
          </w:tcPr>
          <w:p>
            <w:r>
              <w:t>1~6</w:t>
            </w:r>
          </w:p>
        </w:tc>
        <w:tc>
          <w:tcPr>
            <w:vAlign w:val="center"/>
          </w:tcPr>
          <w:p>
            <w:r>
              <w:t>12</w:t>
            </w:r>
          </w:p>
        </w:tc>
        <w:tc>
          <w:tcPr>
            <w:vAlign w:val="center"/>
          </w:tcPr>
          <w:p>
            <w:r>
              <w:t>4.073</w:t>
            </w:r>
          </w:p>
        </w:tc>
        <w:tc>
          <w:tcPr>
            <w:vAlign w:val="center"/>
          </w:tcPr>
          <w:p>
            <w:r>
              <w:t>48.874</w:t>
            </w:r>
          </w:p>
        </w:tc>
        <w:tc>
          <w:tcPr>
            <w:vAlign w:val="center"/>
          </w:tcPr>
          <w:p>
            <w:r>
              <w:t>103</w:t>
            </w:r>
          </w:p>
        </w:tc>
        <w:tc>
          <w:tcPr>
            <w:vAlign w:val="center"/>
          </w:tcPr>
          <w:p>
            <w:r>
              <w:t>0.290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JC1915</w:t>
            </w:r>
          </w:p>
        </w:tc>
        <w:tc>
          <w:tcPr>
            <w:vAlign w:val="center"/>
          </w:tcPr>
          <w:p>
            <w:r>
              <w:t>1~6</w:t>
            </w:r>
          </w:p>
        </w:tc>
        <w:tc>
          <w:tcPr>
            <w:vAlign w:val="center"/>
          </w:tcPr>
          <w:p>
            <w:r>
              <w:t>12</w:t>
            </w:r>
          </w:p>
        </w:tc>
        <w:tc>
          <w:tcPr>
            <w:vAlign w:val="center"/>
          </w:tcPr>
          <w:p>
            <w:r>
              <w:t>3.750</w:t>
            </w:r>
          </w:p>
        </w:tc>
        <w:tc>
          <w:tcPr>
            <w:vAlign w:val="center"/>
          </w:tcPr>
          <w:p>
            <w:r>
              <w:t>45.000</w:t>
            </w:r>
          </w:p>
        </w:tc>
        <w:tc>
          <w:tcPr>
            <w:vAlign w:val="center"/>
          </w:tcPr>
          <w:p>
            <w:r>
              <w:t>103</w:t>
            </w:r>
          </w:p>
        </w:tc>
        <w:tc>
          <w:tcPr>
            <w:vAlign w:val="center"/>
          </w:tcPr>
          <w:p>
            <w:r>
              <w:t>0.290</w:t>
            </w:r>
          </w:p>
        </w:tc>
        <w:tc>
          <w:tcPr>
            <w:vAlign w:val="center"/>
          </w:tcPr>
          <w:p>
            <w:r>
              <w:t>平板遮阳0</w:t>
            </w:r>
          </w:p>
        </w:tc>
        <w:tc>
          <w:tcPr>
            <w:vAlign w:val="center"/>
          </w:tcPr>
          <w:p>
            <w:r>
              <w:t>0.789</w:t>
            </w:r>
          </w:p>
        </w:tc>
        <w:tc>
          <w:tcPr>
            <w:vAlign w:val="center"/>
          </w:tcPr>
          <w:p>
            <w:r>
              <w:t>0.789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JC1915</w:t>
            </w:r>
          </w:p>
        </w:tc>
        <w:tc>
          <w:tcPr>
            <w:vAlign w:val="center"/>
          </w:tcPr>
          <w:p>
            <w:r>
              <w:t>1~6</w:t>
            </w:r>
          </w:p>
        </w:tc>
        <w:tc>
          <w:tcPr>
            <w:vAlign w:val="center"/>
          </w:tcPr>
          <w:p>
            <w:r>
              <w:t>12</w:t>
            </w:r>
          </w:p>
        </w:tc>
        <w:tc>
          <w:tcPr>
            <w:vAlign w:val="center"/>
          </w:tcPr>
          <w:p>
            <w:r>
              <w:t>3.000</w:t>
            </w:r>
          </w:p>
        </w:tc>
        <w:tc>
          <w:tcPr>
            <w:vAlign w:val="center"/>
          </w:tcPr>
          <w:p>
            <w:r>
              <w:t>36.000</w:t>
            </w:r>
          </w:p>
        </w:tc>
        <w:tc>
          <w:tcPr>
            <w:vAlign w:val="center"/>
          </w:tcPr>
          <w:p>
            <w:r>
              <w:t>103</w:t>
            </w:r>
          </w:p>
        </w:tc>
        <w:tc>
          <w:tcPr>
            <w:vAlign w:val="center"/>
          </w:tcPr>
          <w:p>
            <w:r>
              <w:t>0.290</w:t>
            </w:r>
          </w:p>
        </w:tc>
        <w:tc>
          <w:tcPr>
            <w:vAlign w:val="center"/>
          </w:tcPr>
          <w:p>
            <w:r>
              <w:t>平板遮阳0</w:t>
            </w:r>
          </w:p>
        </w:tc>
        <w:tc>
          <w:tcPr>
            <w:vAlign w:val="center"/>
          </w:tcPr>
          <w:p>
            <w:r>
              <w:t>0.789</w:t>
            </w:r>
          </w:p>
        </w:tc>
        <w:tc>
          <w:tcPr>
            <w:vAlign w:val="center"/>
          </w:tcPr>
          <w:p>
            <w:r>
              <w:t>0.789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129.874</w:t>
            </w:r>
          </w:p>
        </w:tc>
        <w:tc>
          <w:tcPr>
            <w:gridSpan w:val="3"/>
            <w:shd w:val="clear" w:color="auto" w:fill="E6E6E6"/>
            <w:vAlign w:val="center"/>
          </w:tcPr>
          <w:p>
            <w:r>
              <w:t>朝向综合遮阳系数</w:t>
            </w:r>
          </w:p>
        </w:tc>
        <w:tc>
          <w:tcPr>
            <w:vAlign w:val="center"/>
          </w:tcPr>
          <w:p>
            <w:r>
              <w:t>0.252</w:t>
            </w:r>
          </w:p>
        </w:tc>
        <w:tc>
          <w:tcPr>
            <w:vAlign w:val="center"/>
          </w:tcPr>
          <w:p>
            <w:r>
              <w:t>0.252</w:t>
            </w:r>
          </w:p>
        </w:tc>
      </w:tr>
    </w:tbl>
    <w:p>
      <w:r>
        <w:t>2. 北向：</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自遮阳系数</w:t>
            </w:r>
          </w:p>
        </w:tc>
        <w:tc>
          <w:tcPr>
            <w:shd w:val="clear" w:color="auto" w:fill="E6E6E6"/>
            <w:vAlign w:val="center"/>
          </w:tcPr>
          <w:p>
            <w:pPr>
              <w:jc w:val="center"/>
            </w:pPr>
            <w:r>
              <w:t>外遮阳编号</w:t>
            </w:r>
          </w:p>
        </w:tc>
        <w:tc>
          <w:tcPr>
            <w:shd w:val="clear" w:color="auto" w:fill="E6E6E6"/>
            <w:vAlign w:val="center"/>
          </w:tcPr>
          <w:p>
            <w:pPr>
              <w:jc w:val="center"/>
            </w:pPr>
            <w:r>
              <w:t>夏季外遮阳系数</w:t>
            </w:r>
          </w:p>
        </w:tc>
        <w:tc>
          <w:tcPr>
            <w:shd w:val="clear" w:color="auto" w:fill="E6E6E6"/>
            <w:vAlign w:val="center"/>
          </w:tcPr>
          <w:p>
            <w:pPr>
              <w:jc w:val="center"/>
            </w:pPr>
            <w:r>
              <w:t>冬季外遮阳系数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15X18</w:t>
            </w:r>
          </w:p>
        </w:tc>
        <w:tc>
          <w:tcPr>
            <w:vAlign w:val="center"/>
          </w:tcPr>
          <w:p>
            <w:r>
              <w:t>1~6</w:t>
            </w:r>
          </w:p>
        </w:tc>
        <w:tc>
          <w:tcPr>
            <w:vAlign w:val="center"/>
          </w:tcPr>
          <w:p>
            <w:r>
              <w:t>6</w:t>
            </w:r>
          </w:p>
        </w:tc>
        <w:tc>
          <w:tcPr>
            <w:vAlign w:val="center"/>
          </w:tcPr>
          <w:p>
            <w:r>
              <w:t>2.700</w:t>
            </w:r>
          </w:p>
        </w:tc>
        <w:tc>
          <w:tcPr>
            <w:vAlign w:val="center"/>
          </w:tcPr>
          <w:p>
            <w:r>
              <w:t>16.200</w:t>
            </w:r>
          </w:p>
        </w:tc>
        <w:tc>
          <w:tcPr>
            <w:vAlign w:val="center"/>
          </w:tcPr>
          <w:p>
            <w:r>
              <w:t>103</w:t>
            </w:r>
          </w:p>
        </w:tc>
        <w:tc>
          <w:tcPr>
            <w:vAlign w:val="center"/>
          </w:tcPr>
          <w:p>
            <w:r>
              <w:t>0.290</w:t>
            </w:r>
          </w:p>
        </w:tc>
        <w:tc>
          <w:tcPr>
            <w:vAlign w:val="center"/>
          </w:tcPr>
          <w:p/>
        </w:tc>
        <w:tc>
          <w:tcPr>
            <w:vAlign w:val="center"/>
          </w:tcPr>
          <w:p>
            <w:r>
              <w:t>1.000</w:t>
            </w:r>
          </w:p>
        </w:tc>
        <w:tc>
          <w:tcPr>
            <w:vAlign w:val="center"/>
          </w:tcPr>
          <w:p>
            <w:r>
              <w:t>1.000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JC0015</w:t>
            </w:r>
          </w:p>
        </w:tc>
        <w:tc>
          <w:tcPr>
            <w:vAlign w:val="center"/>
          </w:tcPr>
          <w:p>
            <w:r>
              <w:t>1~6</w:t>
            </w:r>
          </w:p>
        </w:tc>
        <w:tc>
          <w:tcPr>
            <w:vAlign w:val="center"/>
          </w:tcPr>
          <w:p>
            <w:r>
              <w:t>12</w:t>
            </w:r>
          </w:p>
        </w:tc>
        <w:tc>
          <w:tcPr>
            <w:vAlign w:val="center"/>
          </w:tcPr>
          <w:p>
            <w:r>
              <w:t>2.250</w:t>
            </w:r>
          </w:p>
        </w:tc>
        <w:tc>
          <w:tcPr>
            <w:vAlign w:val="center"/>
          </w:tcPr>
          <w:p>
            <w:r>
              <w:t>27.000</w:t>
            </w:r>
          </w:p>
        </w:tc>
        <w:tc>
          <w:tcPr>
            <w:vAlign w:val="center"/>
          </w:tcPr>
          <w:p>
            <w:r>
              <w:t>103</w:t>
            </w:r>
          </w:p>
        </w:tc>
        <w:tc>
          <w:tcPr>
            <w:vAlign w:val="center"/>
          </w:tcPr>
          <w:p>
            <w:r>
              <w:t>0.290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JC0515</w:t>
            </w:r>
          </w:p>
        </w:tc>
        <w:tc>
          <w:tcPr>
            <w:vAlign w:val="center"/>
          </w:tcPr>
          <w:p>
            <w:r>
              <w:t>1~6</w:t>
            </w:r>
          </w:p>
        </w:tc>
        <w:tc>
          <w:tcPr>
            <w:vAlign w:val="center"/>
          </w:tcPr>
          <w:p>
            <w:r>
              <w:t>12</w:t>
            </w:r>
          </w:p>
        </w:tc>
        <w:tc>
          <w:tcPr>
            <w:vAlign w:val="center"/>
          </w:tcPr>
          <w:p>
            <w:r>
              <w:t>0.900</w:t>
            </w:r>
          </w:p>
        </w:tc>
        <w:tc>
          <w:tcPr>
            <w:vAlign w:val="center"/>
          </w:tcPr>
          <w:p>
            <w:r>
              <w:t>10.800</w:t>
            </w:r>
          </w:p>
        </w:tc>
        <w:tc>
          <w:tcPr>
            <w:vAlign w:val="center"/>
          </w:tcPr>
          <w:p>
            <w:r>
              <w:t>103</w:t>
            </w:r>
          </w:p>
        </w:tc>
        <w:tc>
          <w:tcPr>
            <w:vAlign w:val="center"/>
          </w:tcPr>
          <w:p>
            <w:r>
              <w:t>0.290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JC0915</w:t>
            </w:r>
          </w:p>
        </w:tc>
        <w:tc>
          <w:tcPr>
            <w:vAlign w:val="center"/>
          </w:tcPr>
          <w:p>
            <w:r>
              <w:t>1~6</w:t>
            </w:r>
          </w:p>
        </w:tc>
        <w:tc>
          <w:tcPr>
            <w:vAlign w:val="center"/>
          </w:tcPr>
          <w:p>
            <w:r>
              <w:t>12</w:t>
            </w:r>
          </w:p>
        </w:tc>
        <w:tc>
          <w:tcPr>
            <w:vAlign w:val="center"/>
          </w:tcPr>
          <w:p>
            <w:r>
              <w:t>2.250</w:t>
            </w:r>
          </w:p>
        </w:tc>
        <w:tc>
          <w:tcPr>
            <w:vAlign w:val="center"/>
          </w:tcPr>
          <w:p>
            <w:r>
              <w:t>27.000</w:t>
            </w:r>
          </w:p>
        </w:tc>
        <w:tc>
          <w:tcPr>
            <w:vAlign w:val="center"/>
          </w:tcPr>
          <w:p>
            <w:r>
              <w:t>103</w:t>
            </w:r>
          </w:p>
        </w:tc>
        <w:tc>
          <w:tcPr>
            <w:vAlign w:val="center"/>
          </w:tcPr>
          <w:p>
            <w:r>
              <w:t>0.290</w:t>
            </w:r>
          </w:p>
        </w:tc>
        <w:tc>
          <w:tcPr>
            <w:vAlign w:val="center"/>
          </w:tcPr>
          <w:p>
            <w:r>
              <w:t>平板遮阳0</w:t>
            </w:r>
          </w:p>
        </w:tc>
        <w:tc>
          <w:tcPr>
            <w:vAlign w:val="center"/>
          </w:tcPr>
          <w:p>
            <w:r>
              <w:t>0.851</w:t>
            </w:r>
          </w:p>
        </w:tc>
        <w:tc>
          <w:tcPr>
            <w:vAlign w:val="center"/>
          </w:tcPr>
          <w:p>
            <w:r>
              <w:t>0.851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81.000</w:t>
            </w:r>
          </w:p>
        </w:tc>
        <w:tc>
          <w:tcPr>
            <w:gridSpan w:val="3"/>
            <w:shd w:val="clear" w:color="auto" w:fill="E6E6E6"/>
            <w:vAlign w:val="center"/>
          </w:tcPr>
          <w:p>
            <w:r>
              <w:t>朝向综合遮阳系数</w:t>
            </w:r>
          </w:p>
        </w:tc>
        <w:tc>
          <w:tcPr>
            <w:vAlign w:val="center"/>
          </w:tcPr>
          <w:p>
            <w:r>
              <w:t>0.255</w:t>
            </w:r>
          </w:p>
        </w:tc>
        <w:tc>
          <w:tcPr>
            <w:vAlign w:val="center"/>
          </w:tcPr>
          <w:p>
            <w:r>
              <w:t>0.255</w:t>
            </w:r>
          </w:p>
        </w:tc>
      </w:tr>
    </w:tbl>
    <w:p/>
    <w:p>
      <w:r>
        <w:t>3. 东向：</w:t>
      </w:r>
    </w:p>
    <w:p>
      <w:r>
        <w:t xml:space="preserve"> 无外窗</w:t>
      </w:r>
    </w:p>
    <w:p>
      <w:r>
        <w:t>4. 西向：</w:t>
      </w:r>
    </w:p>
    <w:p>
      <w:r>
        <w:t xml:space="preserve"> 无外窗</w:t>
      </w:r>
    </w:p>
    <w:p>
      <w:r>
        <w:t>5. 平均遮阳系数：</w:t>
      </w:r>
    </w:p>
    <w:p>
      <w:r>
        <w:drawing>
          <wp:inline distT="0" distB="0" distL="0" distR="0">
            <wp:extent cx="4086225" cy="457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9"/>
                    <a:stretch>
                      <a:fillRect/>
                    </a:stretch>
                  </pic:blipFill>
                  <pic:spPr>
                    <a:xfrm>
                      <a:off x="0" y="0"/>
                      <a:ext cx="4086654" cy="457248"/>
                    </a:xfrm>
                    <a:prstGeom prst="rect">
                      <a:avLst/>
                    </a:prstGeom>
                  </pic:spPr>
                </pic:pic>
              </a:graphicData>
            </a:graphic>
          </wp:inline>
        </w:drawing>
      </w:r>
    </w:p>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2"/>
        <w:gridCol w:w="1697"/>
        <w:gridCol w:w="1980"/>
        <w:gridCol w:w="1980"/>
        <w:gridCol w:w="19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面积（㎡）</w:t>
            </w:r>
          </w:p>
        </w:tc>
        <w:tc>
          <w:tcPr>
            <w:shd w:val="clear" w:color="auto" w:fill="E6E6E6"/>
            <w:vAlign w:val="center"/>
          </w:tcPr>
          <w:p>
            <w:pPr>
              <w:jc w:val="center"/>
            </w:pPr>
            <w:r>
              <w:t>权重系数b</w:t>
            </w:r>
          </w:p>
        </w:tc>
        <w:tc>
          <w:tcPr>
            <w:shd w:val="clear" w:color="auto" w:fill="E6E6E6"/>
            <w:vAlign w:val="center"/>
          </w:tcPr>
          <w:p>
            <w:pPr>
              <w:jc w:val="center"/>
            </w:pPr>
            <w:r>
              <w:t>夏季遮阳系数</w:t>
            </w:r>
          </w:p>
        </w:tc>
        <w:tc>
          <w:tcPr>
            <w:shd w:val="clear" w:color="auto" w:fill="E6E6E6"/>
            <w:vAlign w:val="center"/>
          </w:tcPr>
          <w:p>
            <w:pPr>
              <w:jc w:val="center"/>
            </w:pPr>
            <w:r>
              <w:t>冬季遮阳系数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129.874</w:t>
            </w:r>
          </w:p>
        </w:tc>
        <w:tc>
          <w:tcPr>
            <w:vAlign w:val="center"/>
          </w:tcPr>
          <w:p>
            <w:r>
              <w:t>1.00</w:t>
            </w:r>
          </w:p>
        </w:tc>
        <w:tc>
          <w:tcPr>
            <w:vAlign w:val="center"/>
          </w:tcPr>
          <w:p>
            <w:r>
              <w:t>0.252</w:t>
            </w:r>
          </w:p>
        </w:tc>
        <w:tc>
          <w:tcPr>
            <w:vAlign w:val="center"/>
          </w:tcPr>
          <w:p>
            <w:r>
              <w:t>0.252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81.000</w:t>
            </w:r>
          </w:p>
        </w:tc>
        <w:tc>
          <w:tcPr>
            <w:vAlign w:val="center"/>
          </w:tcPr>
          <w:p>
            <w:r>
              <w:t>1.00</w:t>
            </w:r>
          </w:p>
        </w:tc>
        <w:tc>
          <w:tcPr>
            <w:vAlign w:val="center"/>
          </w:tcPr>
          <w:p>
            <w:r>
              <w:t>0.255</w:t>
            </w:r>
          </w:p>
        </w:tc>
        <w:tc>
          <w:tcPr>
            <w:vAlign w:val="center"/>
          </w:tcPr>
          <w:p>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0.000</w:t>
            </w:r>
          </w:p>
        </w:tc>
        <w:tc>
          <w:tcPr>
            <w:vAlign w:val="center"/>
          </w:tcPr>
          <w:p>
            <w:r>
              <w:t>1.00</w:t>
            </w:r>
          </w:p>
        </w:tc>
        <w:tc>
          <w:tcPr>
            <w:vAlign w:val="center"/>
          </w:tcPr>
          <w:p>
            <w:r>
              <w:t>0.000</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0.000</w:t>
            </w:r>
          </w:p>
        </w:tc>
        <w:tc>
          <w:tcPr>
            <w:vAlign w:val="center"/>
          </w:tcPr>
          <w:p>
            <w:r>
              <w:t>1.00</w:t>
            </w:r>
          </w:p>
        </w:tc>
        <w:tc>
          <w:tcPr>
            <w:vAlign w:val="center"/>
          </w:tcPr>
          <w:p>
            <w:r>
              <w:t>0.000</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整个建筑平均遮阳系数</w:t>
            </w:r>
          </w:p>
        </w:tc>
        <w:tc>
          <w:tcPr>
            <w:vAlign w:val="center"/>
          </w:tcPr>
          <w:p>
            <w:r>
              <w:t>0.253</w:t>
            </w:r>
          </w:p>
        </w:tc>
        <w:tc>
          <w:tcPr>
            <w:vAlign w:val="center"/>
          </w:tcPr>
          <w:p>
            <w:r>
              <w:t>0.253</w:t>
            </w:r>
          </w:p>
        </w:tc>
      </w:tr>
    </w:tbl>
    <w:p>
      <w:pPr>
        <w:pStyle w:val="5"/>
      </w:pPr>
      <w:bookmarkStart w:id="71" w:name="_Toc1657"/>
      <w:r>
        <w:t>外窗遮阳系数</w:t>
      </w:r>
      <w:bookmarkEnd w:id="7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3"/>
        <w:gridCol w:w="2009"/>
        <w:gridCol w:w="2037"/>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房间编号</w:t>
            </w:r>
          </w:p>
        </w:tc>
        <w:tc>
          <w:tcPr>
            <w:shd w:val="clear" w:color="auto" w:fill="E6E6E6"/>
            <w:vAlign w:val="center"/>
          </w:tcPr>
          <w:p>
            <w:pPr>
              <w:jc w:val="center"/>
            </w:pPr>
            <w:r>
              <w:t>窗构造</w:t>
            </w:r>
            <w:r>
              <w:br w:type="textWrapping"/>
            </w:r>
            <w:r>
              <w:t>编号</w:t>
            </w:r>
          </w:p>
        </w:tc>
        <w:tc>
          <w:tcPr>
            <w:shd w:val="clear" w:color="auto" w:fill="E6E6E6"/>
            <w:vAlign w:val="center"/>
          </w:tcPr>
          <w:p>
            <w:pPr>
              <w:jc w:val="center"/>
            </w:pPr>
            <w:r>
              <w:t>夏季遮阳系数</w:t>
            </w:r>
          </w:p>
        </w:tc>
        <w:tc>
          <w:tcPr>
            <w:shd w:val="clear" w:color="auto" w:fill="E6E6E6"/>
            <w:vAlign w:val="center"/>
          </w:tcPr>
          <w:p>
            <w:pPr>
              <w:jc w:val="center"/>
            </w:pPr>
            <w:r>
              <w:t>标准要求</w:t>
            </w:r>
          </w:p>
        </w:tc>
        <w:tc>
          <w:tcPr>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南向</w:t>
            </w:r>
          </w:p>
        </w:tc>
        <w:tc>
          <w:tcPr>
            <w:vAlign w:val="center"/>
          </w:tcPr>
          <w:p>
            <w:r>
              <w:t>1001@1</w:t>
            </w:r>
          </w:p>
        </w:tc>
        <w:tc>
          <w:tcPr>
            <w:vAlign w:val="center"/>
          </w:tcPr>
          <w:p>
            <w:r>
              <w:t>103</w:t>
            </w:r>
          </w:p>
        </w:tc>
        <w:tc>
          <w:tcPr>
            <w:vAlign w:val="center"/>
          </w:tcPr>
          <w:p>
            <w:r>
              <w:t>0.23</w:t>
            </w:r>
          </w:p>
        </w:tc>
        <w:tc>
          <w:tcPr>
            <w:vAlign w:val="center"/>
          </w:tcPr>
          <w:p>
            <w:r>
              <w:t>不要求</w:t>
            </w:r>
          </w:p>
        </w:tc>
        <w:tc>
          <w:tcPr>
            <w:vAlign w:val="center"/>
          </w:tcPr>
          <w:p>
            <w:r>
              <w:t>0.29</w:t>
            </w:r>
          </w:p>
        </w:tc>
      </w:tr>
    </w:tbl>
    <w:p>
      <w:pPr>
        <w:pStyle w:val="2"/>
      </w:pPr>
      <w:bookmarkStart w:id="72" w:name="_Toc17466"/>
      <w:r>
        <w:t>围护结构概况</w:t>
      </w:r>
      <w:bookmarkEnd w:id="72"/>
    </w:p>
    <w:p/>
    <w:tbl>
      <w:tblPr>
        <w:tblStyle w:val="19"/>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63"/>
        <w:gridCol w:w="859"/>
        <w:gridCol w:w="1017"/>
        <w:gridCol w:w="794"/>
        <w:gridCol w:w="794"/>
        <w:gridCol w:w="765"/>
        <w:gridCol w:w="907"/>
        <w:gridCol w:w="794"/>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jc w:val="center"/>
              <w:rPr>
                <w:rFonts w:eastAsia="宋体"/>
                <w:bCs/>
                <w:sz w:val="21"/>
                <w:szCs w:val="21"/>
                <w:lang w:eastAsia="zh-CN"/>
              </w:rPr>
            </w:pPr>
          </w:p>
        </w:tc>
        <w:tc>
          <w:tcPr>
            <w:tcW w:w="1730"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740" w:type="pct"/>
            <w:gridSpan w:val="4"/>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73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0.40</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0.46</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0.31</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1.50</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0.61</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06"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5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31"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c>
          <w:tcPr>
            <w:tcW w:w="402"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64"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pPr>
              <w:jc w:val="center"/>
              <w:rPr>
                <w:rFonts w:eastAsia="宋体"/>
                <w:sz w:val="21"/>
                <w:szCs w:val="21"/>
                <w:lang w:eastAsia="zh-CN"/>
              </w:rPr>
            </w:pPr>
          </w:p>
        </w:tc>
        <w:tc>
          <w:tcPr>
            <w:tcW w:w="606" w:type="pct"/>
            <w:vMerge w:val="continue"/>
            <w:shd w:val="clear" w:color="auto" w:fill="E6E6E6"/>
            <w:vAlign w:val="center"/>
          </w:tcPr>
          <w:p>
            <w:pPr>
              <w:jc w:val="center"/>
              <w:rPr>
                <w:rFonts w:eastAsia="宋体"/>
                <w:bCs/>
                <w:sz w:val="21"/>
                <w:szCs w:val="21"/>
                <w:lang w:eastAsia="zh-CN"/>
              </w:rPr>
            </w:pPr>
          </w:p>
        </w:tc>
        <w:tc>
          <w:tcPr>
            <w:tcW w:w="450" w:type="pct"/>
            <w:vMerge w:val="continue"/>
            <w:shd w:val="clear" w:color="auto" w:fill="E6E6E6"/>
            <w:vAlign w:val="center"/>
          </w:tcPr>
          <w:p>
            <w:pPr>
              <w:jc w:val="center"/>
              <w:rPr>
                <w:rFonts w:eastAsia="宋体"/>
                <w:bCs/>
                <w:sz w:val="21"/>
                <w:szCs w:val="21"/>
                <w:lang w:eastAsia="zh-CN"/>
              </w:rPr>
            </w:pPr>
          </w:p>
        </w:tc>
        <w:tc>
          <w:tcPr>
            <w:tcW w:w="531" w:type="pct"/>
            <w:vMerge w:val="continue"/>
            <w:shd w:val="clear" w:color="auto" w:fill="E6E6E6"/>
            <w:vAlign w:val="center"/>
          </w:tcPr>
          <w:p>
            <w:pPr>
              <w:jc w:val="center"/>
              <w:rPr>
                <w:rFonts w:eastAsia="宋体"/>
                <w:bCs/>
                <w:sz w:val="21"/>
                <w:szCs w:val="21"/>
                <w:lang w:eastAsia="zh-CN"/>
              </w:rPr>
            </w:pPr>
          </w:p>
        </w:tc>
        <w:tc>
          <w:tcPr>
            <w:tcW w:w="361"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38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c>
          <w:tcPr>
            <w:tcW w:w="402" w:type="pct"/>
            <w:vMerge w:val="continue"/>
            <w:shd w:val="clear" w:color="auto" w:fill="E6E6E6"/>
            <w:vAlign w:val="center"/>
          </w:tcPr>
          <w:p>
            <w:pPr>
              <w:jc w:val="center"/>
              <w:rPr>
                <w:rFonts w:eastAsia="宋体"/>
                <w:bCs/>
                <w:sz w:val="21"/>
                <w:szCs w:val="21"/>
                <w:lang w:eastAsia="zh-CN"/>
              </w:rPr>
            </w:pPr>
          </w:p>
        </w:tc>
        <w:tc>
          <w:tcPr>
            <w:tcW w:w="475" w:type="pct"/>
            <w:vMerge w:val="continue"/>
            <w:shd w:val="clear" w:color="auto" w:fill="E6E6E6"/>
            <w:vAlign w:val="center"/>
          </w:tcPr>
          <w:p>
            <w:pPr>
              <w:jc w:val="center"/>
              <w:rPr>
                <w:rFonts w:eastAsia="宋体"/>
                <w:bCs/>
                <w:sz w:val="21"/>
                <w:szCs w:val="21"/>
                <w:lang w:eastAsia="zh-CN"/>
              </w:rPr>
            </w:pPr>
          </w:p>
        </w:tc>
        <w:tc>
          <w:tcPr>
            <w:tcW w:w="395"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46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0.36</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普窗2.00、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普窗0.25、</w:t>
            </w:r>
          </w:p>
          <w:p>
            <w:pPr>
              <w:jc w:val="center"/>
              <w:rPr>
                <w:rFonts w:eastAsia="宋体"/>
                <w:bCs/>
                <w:sz w:val="21"/>
                <w:szCs w:val="21"/>
                <w:lang w:eastAsia="zh-CN"/>
              </w:rPr>
            </w:pPr>
            <w:r>
              <w:rPr>
                <w:rFonts w:hint="eastAsia" w:eastAsia="宋体"/>
                <w:bCs/>
                <w:sz w:val="21"/>
                <w:szCs w:val="21"/>
                <w:lang w:eastAsia="zh-CN"/>
              </w:rPr>
              <w:t>凸窗－</w:t>
            </w:r>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0.25、</w:t>
            </w:r>
          </w:p>
          <w:p>
            <w:pPr>
              <w:jc w:val="center"/>
              <w:rPr>
                <w:rFonts w:eastAsia="宋体"/>
                <w:bCs/>
                <w:sz w:val="21"/>
                <w:szCs w:val="21"/>
                <w:lang w:eastAsia="zh-CN"/>
              </w:rPr>
            </w:pPr>
            <w:r>
              <w:rPr>
                <w:rFonts w:hint="eastAsia" w:eastAsia="宋体"/>
                <w:bCs/>
                <w:sz w:val="21"/>
                <w:szCs w:val="21"/>
                <w:lang w:eastAsia="zh-CN"/>
              </w:rPr>
              <w:t>凸窗－</w:t>
            </w:r>
          </w:p>
        </w:tc>
        <w:tc>
          <w:tcPr>
            <w:tcW w:w="402" w:type="pct"/>
            <w:vAlign w:val="center"/>
          </w:tcPr>
          <w:p>
            <w:pPr>
              <w:jc w:val="center"/>
              <w:rPr>
                <w:rFonts w:eastAsia="宋体"/>
                <w:bCs/>
                <w:sz w:val="21"/>
                <w:szCs w:val="21"/>
                <w:lang w:eastAsia="zh-CN"/>
              </w:rPr>
            </w:pPr>
            <w:r>
              <w:rPr>
                <w:rFonts w:hint="eastAsia" w:eastAsia="宋体"/>
                <w:bCs/>
                <w:sz w:val="21"/>
                <w:szCs w:val="21"/>
                <w:lang w:eastAsia="zh-CN"/>
              </w:rPr>
              <w:t>0.36</w:t>
            </w:r>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普窗3.20、</w:t>
            </w:r>
          </w:p>
          <w:p>
            <w:pPr>
              <w:jc w:val="center"/>
              <w:rPr>
                <w:rFonts w:eastAsia="宋体"/>
                <w:bCs/>
                <w:sz w:val="21"/>
                <w:szCs w:val="21"/>
                <w:lang w:eastAsia="zh-CN"/>
              </w:rPr>
            </w:pPr>
            <w:r>
              <w:rPr>
                <w:rFonts w:hint="eastAsia" w:eastAsia="宋体"/>
                <w:bCs/>
                <w:sz w:val="21"/>
                <w:szCs w:val="21"/>
                <w:lang w:eastAsia="zh-CN"/>
              </w:rPr>
              <w:t>凸窗－</w:t>
            </w:r>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普窗0.45、</w:t>
            </w:r>
          </w:p>
          <w:p>
            <w:pPr>
              <w:jc w:val="center"/>
              <w:rPr>
                <w:rFonts w:hint="eastAsia" w:eastAsia="宋体"/>
                <w:bCs/>
                <w:sz w:val="21"/>
                <w:szCs w:val="21"/>
                <w:lang w:eastAsia="zh-CN"/>
              </w:rPr>
            </w:pPr>
            <w:r>
              <w:rPr>
                <w:rFonts w:hint="eastAsia" w:eastAsia="宋体"/>
                <w:bCs/>
                <w:sz w:val="21"/>
                <w:szCs w:val="21"/>
                <w:lang w:eastAsia="zh-CN"/>
              </w:rPr>
              <w:t>凸窗－</w:t>
            </w:r>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p>
          <w:p>
            <w:pPr>
              <w:jc w:val="center"/>
              <w:rPr>
                <w:rFonts w:hint="eastAsia" w:eastAsia="宋体"/>
                <w:bCs/>
                <w:sz w:val="21"/>
                <w:szCs w:val="21"/>
                <w:lang w:eastAsia="zh-CN"/>
              </w:rPr>
            </w:pPr>
            <w:r>
              <w:rPr>
                <w:rFonts w:hint="eastAsia" w:eastAsia="宋体"/>
                <w:bCs/>
                <w:sz w:val="21"/>
                <w:szCs w:val="21"/>
                <w:lang w:eastAsia="zh-CN"/>
              </w:rPr>
              <w:t>凸</w:t>
            </w:r>
            <w:r>
              <w:rPr>
                <w:rFonts w:eastAsia="宋体"/>
                <w:bCs/>
                <w:sz w:val="21"/>
                <w:szCs w:val="21"/>
                <w:lang w:eastAsia="zh-CN"/>
              </w:rPr>
              <w:t>窗</w:t>
            </w: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0.24</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普窗2.00、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0.26</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9"/>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0.26</w:t>
            </w:r>
            <w:bookmarkEnd w:id="41"/>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42"/>
          </w:p>
        </w:tc>
        <w:tc>
          <w:tcPr>
            <w:tcW w:w="402" w:type="pct"/>
            <w:vAlign w:val="center"/>
          </w:tcPr>
          <w:p>
            <w:pPr>
              <w:jc w:val="center"/>
              <w:rPr>
                <w:rFonts w:eastAsia="宋体"/>
                <w:bCs/>
                <w:sz w:val="21"/>
                <w:szCs w:val="21"/>
                <w:lang w:eastAsia="zh-CN"/>
              </w:rPr>
            </w:pPr>
            <w:r>
              <w:rPr>
                <w:rFonts w:hint="eastAsia" w:eastAsia="宋体"/>
                <w:bCs/>
                <w:sz w:val="21"/>
                <w:szCs w:val="21"/>
                <w:lang w:eastAsia="zh-CN"/>
              </w:rPr>
              <w:t>0.24</w:t>
            </w:r>
            <w:bookmarkEnd w:id="46"/>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bookmarkEnd w:id="47"/>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48"/>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End w:id="51"/>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3" w:name="参照建筑凸窗SC－夏季－北向"/>
            <w:r>
              <w:rPr>
                <w:rFonts w:hint="eastAsia" w:eastAsia="宋体"/>
                <w:bCs/>
                <w:sz w:val="21"/>
                <w:szCs w:val="21"/>
                <w:lang w:eastAsia="zh-CN"/>
              </w:rPr>
              <w:t>－</w:t>
            </w:r>
            <w:bookmarkEnd w:id="73"/>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74" w:name="参照建筑外窗SC－冬季－北向"/>
            <w:r>
              <w:rPr>
                <w:rFonts w:hint="eastAsia" w:eastAsia="宋体"/>
                <w:bCs/>
                <w:sz w:val="21"/>
                <w:szCs w:val="21"/>
                <w:lang w:eastAsia="zh-CN"/>
              </w:rPr>
              <w:t>－－</w:t>
            </w:r>
            <w:bookmarkEnd w:id="74"/>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5" w:name="参照建筑凸窗SC－冬季－北向"/>
            <w:r>
              <w:rPr>
                <w:rFonts w:hint="eastAsia" w:eastAsia="宋体"/>
                <w:bCs/>
                <w:sz w:val="21"/>
                <w:szCs w:val="21"/>
                <w:lang w:eastAsia="zh-CN"/>
              </w:rPr>
              <w:t>－</w:t>
            </w:r>
            <w:bookmarkEnd w:id="7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50" w:type="pct"/>
            <w:vAlign w:val="center"/>
          </w:tcPr>
          <w:p>
            <w:pPr>
              <w:jc w:val="center"/>
              <w:rPr>
                <w:rFonts w:eastAsia="宋体"/>
                <w:bCs/>
                <w:sz w:val="21"/>
                <w:szCs w:val="21"/>
                <w:lang w:eastAsia="zh-CN"/>
              </w:rPr>
            </w:pPr>
            <w:bookmarkStart w:id="76" w:name="窗墙比－东向"/>
            <w:r>
              <w:rPr>
                <w:rFonts w:hint="eastAsia" w:eastAsia="宋体"/>
                <w:bCs/>
                <w:sz w:val="21"/>
                <w:szCs w:val="21"/>
                <w:lang w:eastAsia="zh-CN"/>
              </w:rPr>
              <w:t>0.00</w:t>
            </w:r>
            <w:bookmarkEnd w:id="76"/>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77" w:name="外窗K－东向"/>
            <w:r>
              <w:rPr>
                <w:rFonts w:hint="eastAsia" w:eastAsia="宋体"/>
                <w:bCs/>
                <w:sz w:val="21"/>
                <w:szCs w:val="21"/>
                <w:lang w:eastAsia="zh-CN"/>
              </w:rPr>
              <w:t>－</w:t>
            </w:r>
            <w:bookmarkEnd w:id="77"/>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78" w:name="凸窗K－东向"/>
            <w:r>
              <w:rPr>
                <w:rFonts w:hint="eastAsia" w:eastAsia="宋体"/>
                <w:bCs/>
                <w:sz w:val="21"/>
                <w:szCs w:val="21"/>
                <w:lang w:eastAsia="zh-CN"/>
              </w:rPr>
              <w:t>－</w:t>
            </w:r>
            <w:bookmarkEnd w:id="78"/>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79" w:name="外窗SC－夏季－东向"/>
            <w:r>
              <w:rPr>
                <w:rFonts w:hint="eastAsia" w:eastAsia="宋体"/>
                <w:bCs/>
                <w:sz w:val="21"/>
                <w:szCs w:val="21"/>
                <w:lang w:eastAsia="zh-CN"/>
              </w:rPr>
              <w:t>0.00</w:t>
            </w:r>
            <w:bookmarkEnd w:id="79"/>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80" w:name="凸窗SC－夏季－东向"/>
            <w:r>
              <w:rPr>
                <w:rFonts w:hint="eastAsia" w:eastAsia="宋体"/>
                <w:bCs/>
                <w:sz w:val="21"/>
                <w:szCs w:val="21"/>
                <w:lang w:eastAsia="zh-CN"/>
              </w:rPr>
              <w:t>－</w:t>
            </w:r>
            <w:bookmarkEnd w:id="80"/>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81" w:name="外窗SC－冬季－东向"/>
            <w:r>
              <w:rPr>
                <w:rFonts w:hint="eastAsia" w:eastAsia="宋体"/>
                <w:bCs/>
                <w:sz w:val="21"/>
                <w:szCs w:val="21"/>
                <w:lang w:eastAsia="zh-CN"/>
              </w:rPr>
              <w:t>0.00</w:t>
            </w:r>
            <w:bookmarkEnd w:id="81"/>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82" w:name="凸窗SC－冬季－东向"/>
            <w:r>
              <w:rPr>
                <w:rFonts w:hint="eastAsia" w:eastAsia="宋体"/>
                <w:bCs/>
                <w:sz w:val="21"/>
                <w:szCs w:val="21"/>
                <w:lang w:eastAsia="zh-CN"/>
              </w:rPr>
              <w:t>－</w:t>
            </w:r>
            <w:bookmarkEnd w:id="82"/>
          </w:p>
        </w:tc>
        <w:tc>
          <w:tcPr>
            <w:tcW w:w="402" w:type="pct"/>
            <w:vAlign w:val="center"/>
          </w:tcPr>
          <w:p>
            <w:pPr>
              <w:jc w:val="center"/>
              <w:rPr>
                <w:rFonts w:eastAsia="宋体"/>
                <w:bCs/>
                <w:sz w:val="21"/>
                <w:szCs w:val="21"/>
                <w:lang w:eastAsia="zh-CN"/>
              </w:rPr>
            </w:pPr>
            <w:bookmarkStart w:id="83" w:name="参照建筑窗墙比－东向"/>
            <w:r>
              <w:rPr>
                <w:rFonts w:hint="eastAsia" w:eastAsia="宋体"/>
                <w:bCs/>
                <w:sz w:val="21"/>
                <w:szCs w:val="21"/>
                <w:lang w:eastAsia="zh-CN"/>
              </w:rPr>
              <w:t>0.00</w:t>
            </w:r>
            <w:bookmarkEnd w:id="83"/>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84" w:name="参照建筑外窗K－东向"/>
            <w:r>
              <w:rPr>
                <w:rFonts w:hint="eastAsia" w:eastAsia="宋体"/>
                <w:bCs/>
                <w:sz w:val="21"/>
                <w:szCs w:val="21"/>
                <w:lang w:eastAsia="zh-CN"/>
              </w:rPr>
              <w:t>－</w:t>
            </w:r>
            <w:bookmarkEnd w:id="84"/>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85" w:name="参照建筑凸窗K－东向"/>
            <w:r>
              <w:rPr>
                <w:rFonts w:hint="eastAsia" w:eastAsia="宋体"/>
                <w:bCs/>
                <w:sz w:val="21"/>
                <w:szCs w:val="21"/>
                <w:lang w:eastAsia="zh-CN"/>
              </w:rPr>
              <w:t>－</w:t>
            </w:r>
            <w:bookmarkEnd w:id="85"/>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86" w:name="参照建筑外窗SC－夏季－东向"/>
            <w:r>
              <w:rPr>
                <w:rFonts w:hint="eastAsia" w:eastAsia="宋体"/>
                <w:bCs/>
                <w:sz w:val="21"/>
                <w:szCs w:val="21"/>
                <w:lang w:eastAsia="zh-CN"/>
              </w:rPr>
              <w:t>－</w:t>
            </w:r>
            <w:bookmarkEnd w:id="86"/>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87" w:name="参照建筑凸窗SC－夏季－东向"/>
            <w:r>
              <w:rPr>
                <w:rFonts w:hint="eastAsia" w:eastAsia="宋体"/>
                <w:bCs/>
                <w:sz w:val="21"/>
                <w:szCs w:val="21"/>
                <w:lang w:eastAsia="zh-CN"/>
              </w:rPr>
              <w:t>－</w:t>
            </w:r>
            <w:bookmarkEnd w:id="87"/>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88" w:name="参照建筑外窗SC－冬季－东向"/>
            <w:r>
              <w:rPr>
                <w:rFonts w:hint="eastAsia" w:eastAsia="宋体"/>
                <w:bCs/>
                <w:sz w:val="21"/>
                <w:szCs w:val="21"/>
                <w:lang w:eastAsia="zh-CN"/>
              </w:rPr>
              <w:t>－</w:t>
            </w:r>
            <w:bookmarkEnd w:id="8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89" w:name="参照建筑凸窗SC－冬季－东向"/>
            <w:r>
              <w:rPr>
                <w:rFonts w:hint="eastAsia" w:eastAsia="宋体"/>
                <w:bCs/>
                <w:sz w:val="21"/>
                <w:szCs w:val="21"/>
                <w:lang w:eastAsia="zh-CN"/>
              </w:rPr>
              <w:t>－</w:t>
            </w:r>
            <w:bookmarkEnd w:id="89"/>
          </w:p>
        </w:tc>
      </w:tr>
      <w:tr>
        <w:tblPrEx>
          <w:tblCellMar>
            <w:top w:w="0" w:type="dxa"/>
            <w:left w:w="108" w:type="dxa"/>
            <w:bottom w:w="0" w:type="dxa"/>
            <w:right w:w="108" w:type="dxa"/>
          </w:tblCellMar>
        </w:tblPrEx>
        <w:trPr>
          <w:cantSplit/>
          <w:trHeight w:val="1503"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50" w:type="pct"/>
            <w:vAlign w:val="center"/>
          </w:tcPr>
          <w:p>
            <w:pPr>
              <w:jc w:val="center"/>
              <w:rPr>
                <w:rFonts w:eastAsia="宋体"/>
                <w:bCs/>
                <w:sz w:val="21"/>
                <w:szCs w:val="21"/>
                <w:lang w:eastAsia="zh-CN"/>
              </w:rPr>
            </w:pPr>
            <w:bookmarkStart w:id="90" w:name="窗墙比－西向"/>
            <w:r>
              <w:rPr>
                <w:rFonts w:hint="eastAsia" w:eastAsia="宋体"/>
                <w:bCs/>
                <w:sz w:val="21"/>
                <w:szCs w:val="21"/>
                <w:lang w:eastAsia="zh-CN"/>
              </w:rPr>
              <w:t>0.00</w:t>
            </w:r>
            <w:bookmarkEnd w:id="90"/>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91" w:name="外窗K－西向"/>
            <w:r>
              <w:rPr>
                <w:rFonts w:hint="eastAsia" w:eastAsia="宋体"/>
                <w:bCs/>
                <w:sz w:val="21"/>
                <w:szCs w:val="21"/>
                <w:lang w:eastAsia="zh-CN"/>
              </w:rPr>
              <w:t>－</w:t>
            </w:r>
            <w:bookmarkEnd w:id="91"/>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92" w:name="凸窗K－西向"/>
            <w:r>
              <w:rPr>
                <w:rFonts w:hint="eastAsia" w:eastAsia="宋体"/>
                <w:bCs/>
                <w:sz w:val="21"/>
                <w:szCs w:val="21"/>
                <w:lang w:eastAsia="zh-CN"/>
              </w:rPr>
              <w:t>－</w:t>
            </w:r>
            <w:bookmarkEnd w:id="92"/>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93" w:name="外窗SC－夏季－西向"/>
            <w:r>
              <w:rPr>
                <w:rFonts w:hint="eastAsia" w:eastAsia="宋体"/>
                <w:bCs/>
                <w:sz w:val="21"/>
                <w:szCs w:val="21"/>
                <w:lang w:eastAsia="zh-CN"/>
              </w:rPr>
              <w:t>0.00</w:t>
            </w:r>
            <w:bookmarkEnd w:id="93"/>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94" w:name="凸窗SC－夏季－西向"/>
            <w:r>
              <w:rPr>
                <w:rFonts w:hint="eastAsia" w:eastAsia="宋体"/>
                <w:bCs/>
                <w:sz w:val="21"/>
                <w:szCs w:val="21"/>
                <w:lang w:eastAsia="zh-CN"/>
              </w:rPr>
              <w:t>－</w:t>
            </w:r>
            <w:bookmarkEnd w:id="94"/>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95" w:name="外窗SC－冬季－西向"/>
            <w:r>
              <w:rPr>
                <w:rFonts w:hint="eastAsia" w:eastAsia="宋体"/>
                <w:bCs/>
                <w:sz w:val="21"/>
                <w:szCs w:val="21"/>
                <w:lang w:eastAsia="zh-CN"/>
              </w:rPr>
              <w:t>0.00</w:t>
            </w:r>
            <w:bookmarkEnd w:id="9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96" w:name="凸窗SC－冬季－西向"/>
            <w:r>
              <w:rPr>
                <w:rFonts w:hint="eastAsia" w:eastAsia="宋体"/>
                <w:bCs/>
                <w:sz w:val="21"/>
                <w:szCs w:val="21"/>
                <w:lang w:eastAsia="zh-CN"/>
              </w:rPr>
              <w:t>－</w:t>
            </w:r>
            <w:bookmarkEnd w:id="96"/>
          </w:p>
        </w:tc>
        <w:tc>
          <w:tcPr>
            <w:tcW w:w="402" w:type="pct"/>
            <w:vAlign w:val="center"/>
          </w:tcPr>
          <w:p>
            <w:pPr>
              <w:jc w:val="center"/>
              <w:rPr>
                <w:rFonts w:eastAsia="宋体"/>
                <w:bCs/>
                <w:sz w:val="21"/>
                <w:szCs w:val="21"/>
                <w:lang w:eastAsia="zh-CN"/>
              </w:rPr>
            </w:pPr>
            <w:bookmarkStart w:id="97" w:name="参照建筑窗墙比－西向"/>
            <w:r>
              <w:rPr>
                <w:rFonts w:hint="eastAsia" w:eastAsia="宋体"/>
                <w:bCs/>
                <w:sz w:val="21"/>
                <w:szCs w:val="21"/>
                <w:lang w:eastAsia="zh-CN"/>
              </w:rPr>
              <w:t>0.00</w:t>
            </w:r>
            <w:bookmarkEnd w:id="97"/>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98" w:name="参照建筑外窗K－西向"/>
            <w:r>
              <w:rPr>
                <w:rFonts w:hint="eastAsia" w:eastAsia="宋体"/>
                <w:bCs/>
                <w:sz w:val="21"/>
                <w:szCs w:val="21"/>
                <w:lang w:eastAsia="zh-CN"/>
              </w:rPr>
              <w:t>－</w:t>
            </w:r>
            <w:bookmarkEnd w:id="98"/>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99" w:name="参照建筑凸窗K－西向"/>
            <w:r>
              <w:rPr>
                <w:rFonts w:hint="eastAsia" w:eastAsia="宋体"/>
                <w:bCs/>
                <w:sz w:val="21"/>
                <w:szCs w:val="21"/>
                <w:lang w:eastAsia="zh-CN"/>
              </w:rPr>
              <w:t>－</w:t>
            </w:r>
            <w:bookmarkEnd w:id="99"/>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100" w:name="参照建筑外窗SC－夏季－西向"/>
            <w:r>
              <w:rPr>
                <w:rFonts w:hint="eastAsia" w:eastAsia="宋体"/>
                <w:bCs/>
                <w:sz w:val="21"/>
                <w:szCs w:val="21"/>
                <w:lang w:eastAsia="zh-CN"/>
              </w:rPr>
              <w:t>－</w:t>
            </w:r>
            <w:bookmarkEnd w:id="10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101" w:name="参照建筑凸窗SC－夏季－西向"/>
            <w:r>
              <w:rPr>
                <w:rFonts w:hint="eastAsia" w:eastAsia="宋体"/>
                <w:bCs/>
                <w:sz w:val="21"/>
                <w:szCs w:val="21"/>
                <w:lang w:eastAsia="zh-CN"/>
              </w:rPr>
              <w:t>－</w:t>
            </w:r>
            <w:bookmarkEnd w:id="101"/>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102" w:name="参照建筑外窗SC－冬季－西向"/>
            <w:r>
              <w:rPr>
                <w:rFonts w:hint="eastAsia" w:eastAsia="宋体"/>
                <w:bCs/>
                <w:sz w:val="21"/>
                <w:szCs w:val="21"/>
                <w:lang w:eastAsia="zh-CN"/>
              </w:rPr>
              <w:t>－</w:t>
            </w:r>
            <w:bookmarkEnd w:id="10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103" w:name="参照建筑凸窗SC－冬季－西向"/>
            <w:r>
              <w:rPr>
                <w:rFonts w:hint="eastAsia" w:eastAsia="宋体"/>
                <w:bCs/>
                <w:sz w:val="21"/>
                <w:szCs w:val="21"/>
                <w:lang w:eastAsia="zh-CN"/>
              </w:rPr>
              <w:t>－</w:t>
            </w:r>
            <w:bookmarkEnd w:id="103"/>
          </w:p>
        </w:tc>
      </w:tr>
    </w:tbl>
    <w:p>
      <w:r>
        <w:t>备注：1. — 代表本工程无对应项; 2. ——代表参照建筑不要求，取值同设计建筑。</w:t>
      </w:r>
    </w:p>
    <w:p/>
    <w:p>
      <w:pPr>
        <w:pStyle w:val="2"/>
      </w:pPr>
      <w:bookmarkStart w:id="104" w:name="_Toc18188"/>
      <w:r>
        <w:t>设计建筑</w:t>
      </w:r>
      <w:bookmarkEnd w:id="104"/>
    </w:p>
    <w:p>
      <w:pPr>
        <w:pStyle w:val="4"/>
      </w:pPr>
      <w:bookmarkStart w:id="105" w:name="_Toc27635"/>
      <w:r>
        <w:t>房间类型</w:t>
      </w:r>
      <w:bookmarkEnd w:id="105"/>
    </w:p>
    <w:p>
      <w:pPr>
        <w:pStyle w:val="5"/>
      </w:pPr>
      <w:bookmarkStart w:id="106" w:name="_Toc27228"/>
      <w:r>
        <w:t>房间表</w:t>
      </w:r>
      <w:bookmarkEnd w:id="10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次卧室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过厅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pPr>
      <w:bookmarkStart w:id="107" w:name="_Toc2103"/>
      <w:r>
        <w:t>作息时间表</w:t>
      </w:r>
      <w:bookmarkEnd w:id="107"/>
    </w:p>
    <w:p>
      <w:r>
        <w:t>详见附录</w:t>
      </w:r>
    </w:p>
    <w:p>
      <w:pPr>
        <w:pStyle w:val="4"/>
      </w:pPr>
      <w:bookmarkStart w:id="108" w:name="_Toc527"/>
      <w:r>
        <w:t>系统类型</w:t>
      </w:r>
      <w:bookmarkEnd w:id="10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单元式房间空调器</w:t>
            </w:r>
          </w:p>
        </w:tc>
        <w:tc>
          <w:tcPr>
            <w:vAlign w:val="center"/>
          </w:tcPr>
          <w:p>
            <w:r>
              <w:t>3.00</w:t>
            </w:r>
          </w:p>
        </w:tc>
        <w:tc>
          <w:tcPr>
            <w:vAlign w:val="center"/>
          </w:tcPr>
          <w:p>
            <w:r>
              <w:t>2.70</w:t>
            </w:r>
          </w:p>
        </w:tc>
        <w:tc>
          <w:tcPr>
            <w:vAlign w:val="center"/>
          </w:tcPr>
          <w:p>
            <w:r>
              <w:t>821.20</w:t>
            </w:r>
          </w:p>
        </w:tc>
        <w:tc>
          <w:tcPr>
            <w:vAlign w:val="center"/>
          </w:tcPr>
          <w:p>
            <w:r>
              <w:t>所有房间</w:t>
            </w:r>
          </w:p>
        </w:tc>
      </w:tr>
    </w:tbl>
    <w:p>
      <w:pPr>
        <w:pStyle w:val="4"/>
      </w:pPr>
      <w:bookmarkStart w:id="109" w:name="_Toc32319"/>
      <w:r>
        <w:t>制冷系统</w:t>
      </w:r>
      <w:bookmarkEnd w:id="109"/>
    </w:p>
    <w:p>
      <w:pPr>
        <w:pStyle w:val="5"/>
      </w:pPr>
      <w:bookmarkStart w:id="110" w:name="_Toc24759"/>
      <w:r>
        <w:t>多联机/单元式空调能耗</w:t>
      </w:r>
      <w:bookmarkEnd w:id="11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w:t>
            </w:r>
          </w:p>
        </w:tc>
        <w:tc>
          <w:tcPr>
            <w:shd w:val="clear" w:color="auto" w:fill="E6E6E6"/>
            <w:vAlign w:val="center"/>
          </w:tcPr>
          <w:p>
            <w:pPr>
              <w:jc w:val="center"/>
            </w:pPr>
            <w:r>
              <w:t>能效比</w:t>
            </w:r>
          </w:p>
        </w:tc>
        <w:tc>
          <w:tcPr>
            <w:shd w:val="clear" w:color="auto" w:fill="E6E6E6"/>
            <w:vAlign w:val="center"/>
          </w:tcPr>
          <w:p>
            <w:pPr>
              <w:jc w:val="center"/>
            </w:pPr>
            <w:r>
              <w:t>耗冷量(kWh)</w:t>
            </w:r>
          </w:p>
        </w:tc>
        <w:tc>
          <w:tcPr>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默认</w:t>
            </w:r>
          </w:p>
        </w:tc>
        <w:tc>
          <w:tcPr>
            <w:vAlign w:val="center"/>
          </w:tcPr>
          <w:p>
            <w:r>
              <w:t>3.00</w:t>
            </w:r>
          </w:p>
        </w:tc>
        <w:tc>
          <w:tcPr>
            <w:vAlign w:val="center"/>
          </w:tcPr>
          <w:p>
            <w:r>
              <w:t>33772</w:t>
            </w:r>
          </w:p>
        </w:tc>
        <w:tc>
          <w:tcPr>
            <w:vAlign w:val="center"/>
          </w:tcPr>
          <w:p>
            <w:r>
              <w:t>11257</w:t>
            </w:r>
          </w:p>
        </w:tc>
      </w:tr>
    </w:tbl>
    <w:p>
      <w:pPr>
        <w:pStyle w:val="4"/>
      </w:pPr>
      <w:bookmarkStart w:id="111" w:name="_Toc14241"/>
      <w:r>
        <w:t>供暖系统</w:t>
      </w:r>
      <w:bookmarkEnd w:id="111"/>
    </w:p>
    <w:p>
      <w:pPr>
        <w:pStyle w:val="5"/>
      </w:pPr>
      <w:bookmarkStart w:id="112" w:name="_Toc28064"/>
      <w:r>
        <w:t>多联机/单元式热泵能耗</w:t>
      </w:r>
      <w:bookmarkEnd w:id="11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w:t>
            </w:r>
          </w:p>
        </w:tc>
        <w:tc>
          <w:tcPr>
            <w:shd w:val="clear" w:color="auto" w:fill="E6E6E6"/>
            <w:vAlign w:val="center"/>
          </w:tcPr>
          <w:p>
            <w:pPr>
              <w:jc w:val="center"/>
            </w:pPr>
            <w:r>
              <w:t>能效比</w:t>
            </w:r>
          </w:p>
        </w:tc>
        <w:tc>
          <w:tcPr>
            <w:shd w:val="clear" w:color="auto" w:fill="E6E6E6"/>
            <w:vAlign w:val="center"/>
          </w:tcPr>
          <w:p>
            <w:pPr>
              <w:jc w:val="center"/>
            </w:pPr>
            <w:r>
              <w:t>耗热量(kWh)</w:t>
            </w:r>
          </w:p>
        </w:tc>
        <w:tc>
          <w:tcPr>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默认</w:t>
            </w:r>
          </w:p>
        </w:tc>
        <w:tc>
          <w:tcPr>
            <w:vAlign w:val="center"/>
          </w:tcPr>
          <w:p>
            <w:r>
              <w:t>2.70</w:t>
            </w:r>
          </w:p>
        </w:tc>
        <w:tc>
          <w:tcPr>
            <w:vAlign w:val="center"/>
          </w:tcPr>
          <w:p>
            <w:r>
              <w:t>32395</w:t>
            </w:r>
          </w:p>
        </w:tc>
        <w:tc>
          <w:tcPr>
            <w:vAlign w:val="center"/>
          </w:tcPr>
          <w:p>
            <w:r>
              <w:t>11998</w:t>
            </w:r>
          </w:p>
        </w:tc>
      </w:tr>
    </w:tbl>
    <w:p>
      <w:pPr>
        <w:pStyle w:val="4"/>
      </w:pPr>
      <w:bookmarkStart w:id="113" w:name="_Toc14944"/>
      <w:r>
        <w:t>负荷分项统计</w:t>
      </w:r>
      <w:bookmarkEnd w:id="113"/>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-23.79</w:t>
            </w:r>
          </w:p>
        </w:tc>
        <w:tc>
          <w:tcPr>
            <w:vAlign w:val="center"/>
          </w:tcPr>
          <w:p>
            <w:r>
              <w:t>4.81</w:t>
            </w:r>
          </w:p>
        </w:tc>
        <w:tc>
          <w:tcPr>
            <w:vAlign w:val="center"/>
          </w:tcPr>
          <w:p>
            <w:r>
              <w:t>5.31</w:t>
            </w:r>
          </w:p>
        </w:tc>
        <w:tc>
          <w:tcPr>
            <w:vAlign w:val="center"/>
          </w:tcPr>
          <w:p>
            <w:r>
              <w:t>-13.47</w:t>
            </w:r>
          </w:p>
        </w:tc>
        <w:tc>
          <w:tcPr>
            <w:vAlign w:val="center"/>
          </w:tcPr>
          <w:p>
            <w:r>
              <w:t>0.00</w:t>
            </w:r>
          </w:p>
        </w:tc>
        <w:tc>
          <w:tcPr>
            <w:vAlign w:val="center"/>
          </w:tcPr>
          <w:p>
            <w:r>
              <w:t>-27.13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2.69</w:t>
            </w:r>
          </w:p>
        </w:tc>
        <w:tc>
          <w:tcPr>
            <w:vAlign w:val="center"/>
          </w:tcPr>
          <w:p>
            <w:r>
              <w:t>5.32</w:t>
            </w:r>
          </w:p>
        </w:tc>
        <w:tc>
          <w:tcPr>
            <w:vAlign w:val="center"/>
          </w:tcPr>
          <w:p>
            <w:r>
              <w:t>3.60</w:t>
            </w:r>
          </w:p>
        </w:tc>
        <w:tc>
          <w:tcPr>
            <w:vAlign w:val="center"/>
          </w:tcPr>
          <w:p>
            <w:r>
              <w:t>16.68</w:t>
            </w:r>
          </w:p>
        </w:tc>
        <w:tc>
          <w:tcPr>
            <w:vAlign w:val="center"/>
          </w:tcPr>
          <w:p>
            <w:r>
              <w:t>0.00</w:t>
            </w:r>
          </w:p>
        </w:tc>
        <w:tc>
          <w:tcPr>
            <w:vAlign w:val="center"/>
          </w:tcPr>
          <w:p>
            <w:r>
              <w:t>28.29</w:t>
            </w:r>
          </w:p>
        </w:tc>
      </w:tr>
    </w:tbl>
    <w:p>
      <w:pPr>
        <w:pStyle w:val="4"/>
      </w:pPr>
      <w:bookmarkStart w:id="114" w:name="_Toc27411"/>
      <w:r>
        <w:t>逐月电耗</w:t>
      </w:r>
      <w:bookmarkEnd w:id="114"/>
    </w:p>
    <w:p>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2.78</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2.46</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1.86</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0.55</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0.02</w:t>
            </w:r>
          </w:p>
        </w:tc>
        <w:tc>
          <w:tcPr>
            <w:vAlign w:val="center"/>
          </w:tcPr>
          <w:p>
            <w:pPr>
              <w:jc w:val="right"/>
            </w:pPr>
            <w:r>
              <w:t>0.02</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1.09</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2.94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3.71</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1.56</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0.10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0.45</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1.92</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9.43</w:t>
            </w:r>
          </w:p>
        </w:tc>
        <w:tc>
          <w:tcPr>
            <w:vAlign w:val="center"/>
          </w:tcPr>
          <w:p>
            <w:pPr>
              <w:jc w:val="right"/>
            </w:pPr>
            <w:r>
              <w:t>10.05</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pPr>
      <w:bookmarkStart w:id="115" w:name="_Toc10898"/>
      <w:r>
        <w:t>参照建筑</w:t>
      </w:r>
      <w:bookmarkEnd w:id="115"/>
    </w:p>
    <w:p>
      <w:pPr>
        <w:pStyle w:val="4"/>
      </w:pPr>
      <w:bookmarkStart w:id="116" w:name="_Toc29695"/>
      <w:r>
        <w:t>房间类型</w:t>
      </w:r>
      <w:bookmarkEnd w:id="116"/>
    </w:p>
    <w:p>
      <w:pPr>
        <w:pStyle w:val="5"/>
      </w:pPr>
      <w:bookmarkStart w:id="117" w:name="_Toc18924"/>
      <w:r>
        <w:t>房间表</w:t>
      </w:r>
      <w:bookmarkEnd w:id="117"/>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主卧室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次卧室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过厅</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pPr>
      <w:bookmarkStart w:id="118" w:name="_Toc5051"/>
      <w:r>
        <w:t>作息时间表</w:t>
      </w:r>
      <w:bookmarkEnd w:id="118"/>
    </w:p>
    <w:p>
      <w:r>
        <w:t>同设计建筑</w:t>
      </w:r>
    </w:p>
    <w:p>
      <w:pPr>
        <w:pStyle w:val="4"/>
      </w:pPr>
      <w:bookmarkStart w:id="119" w:name="_Toc27894"/>
      <w:r>
        <w:t>系统类型</w:t>
      </w:r>
      <w:bookmarkEnd w:id="11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包含房间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1.90</w:t>
            </w:r>
          </w:p>
        </w:tc>
        <w:tc>
          <w:tcPr>
            <w:vAlign w:val="center"/>
          </w:tcPr>
          <w:p>
            <w:r>
              <w:t>所有房间</w:t>
            </w:r>
          </w:p>
        </w:tc>
      </w:tr>
    </w:tbl>
    <w:p>
      <w:pPr>
        <w:pStyle w:val="4"/>
      </w:pPr>
      <w:bookmarkStart w:id="120" w:name="_Toc12538"/>
      <w:r>
        <w:t>制冷系统</w:t>
      </w:r>
      <w:bookmarkEnd w:id="12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冷负荷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39822</w:t>
            </w:r>
          </w:p>
        </w:tc>
        <w:tc>
          <w:tcPr>
            <w:vAlign w:val="center"/>
          </w:tcPr>
          <w:p>
            <w:r>
              <w:t>17314</w:t>
            </w:r>
          </w:p>
        </w:tc>
      </w:tr>
    </w:tbl>
    <w:p>
      <w:pPr>
        <w:pStyle w:val="4"/>
      </w:pPr>
      <w:bookmarkStart w:id="121" w:name="_Toc23234"/>
      <w:r>
        <w:t>供暖系统</w:t>
      </w:r>
      <w:bookmarkEnd w:id="12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150"/>
        <w:gridCol w:w="2150"/>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热负荷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1.90</w:t>
            </w:r>
          </w:p>
        </w:tc>
        <w:tc>
          <w:tcPr>
            <w:vAlign w:val="center"/>
          </w:tcPr>
          <w:p>
            <w:r>
              <w:t>74729</w:t>
            </w:r>
          </w:p>
        </w:tc>
        <w:tc>
          <w:tcPr>
            <w:vAlign w:val="center"/>
          </w:tcPr>
          <w:p>
            <w:r>
              <w:t>39331</w:t>
            </w:r>
          </w:p>
        </w:tc>
      </w:tr>
    </w:tbl>
    <w:p>
      <w:pPr>
        <w:pStyle w:val="4"/>
      </w:pPr>
      <w:bookmarkStart w:id="122" w:name="_Toc3361"/>
      <w:r>
        <w:t>负荷分项统计</w:t>
      </w:r>
      <w:bookmarkEnd w:id="122"/>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-60.96</w:t>
            </w:r>
          </w:p>
        </w:tc>
        <w:tc>
          <w:tcPr>
            <w:vAlign w:val="center"/>
          </w:tcPr>
          <w:p>
            <w:r>
              <w:t>6.28</w:t>
            </w:r>
          </w:p>
        </w:tc>
        <w:tc>
          <w:tcPr>
            <w:vAlign w:val="center"/>
          </w:tcPr>
          <w:p>
            <w:r>
              <w:t>7.18</w:t>
            </w:r>
          </w:p>
        </w:tc>
        <w:tc>
          <w:tcPr>
            <w:vAlign w:val="center"/>
          </w:tcPr>
          <w:p>
            <w:r>
              <w:t>-15.09</w:t>
            </w:r>
          </w:p>
        </w:tc>
        <w:tc>
          <w:tcPr>
            <w:vAlign w:val="center"/>
          </w:tcPr>
          <w:p>
            <w:r>
              <w:t>0.00</w:t>
            </w:r>
          </w:p>
        </w:tc>
        <w:tc>
          <w:tcPr>
            <w:vAlign w:val="center"/>
          </w:tcPr>
          <w:p>
            <w:r>
              <w:t>-62.59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8.36</w:t>
            </w:r>
          </w:p>
        </w:tc>
        <w:tc>
          <w:tcPr>
            <w:vAlign w:val="center"/>
          </w:tcPr>
          <w:p>
            <w:r>
              <w:t>4.97</w:t>
            </w:r>
          </w:p>
        </w:tc>
        <w:tc>
          <w:tcPr>
            <w:vAlign w:val="center"/>
          </w:tcPr>
          <w:p>
            <w:r>
              <w:t>4.01</w:t>
            </w:r>
          </w:p>
        </w:tc>
        <w:tc>
          <w:tcPr>
            <w:vAlign w:val="center"/>
          </w:tcPr>
          <w:p>
            <w:r>
              <w:t>16.01</w:t>
            </w:r>
          </w:p>
        </w:tc>
        <w:tc>
          <w:tcPr>
            <w:vAlign w:val="center"/>
          </w:tcPr>
          <w:p>
            <w:r>
              <w:t>0.00</w:t>
            </w:r>
          </w:p>
        </w:tc>
        <w:tc>
          <w:tcPr>
            <w:vAlign w:val="center"/>
          </w:tcPr>
          <w:p>
            <w:r>
              <w:t>33.35</w:t>
            </w:r>
          </w:p>
        </w:tc>
      </w:tr>
    </w:tbl>
    <w:p>
      <w:pPr>
        <w:pStyle w:val="4"/>
      </w:pPr>
      <w:bookmarkStart w:id="123" w:name="_Toc29515"/>
      <w:r>
        <w:t>逐月电耗</w:t>
      </w:r>
      <w:bookmarkEnd w:id="123"/>
    </w:p>
    <w:p>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8.88</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7.45</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5.57</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1.46</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0.02</w:t>
            </w:r>
          </w:p>
        </w:tc>
        <w:tc>
          <w:tcPr>
            <w:vAlign w:val="center"/>
          </w:tcPr>
          <w:p>
            <w:pPr>
              <w:jc w:val="right"/>
            </w:pPr>
            <w:r>
              <w:t>0.02</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1.96</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4.69</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5.94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1.83</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0.06</w:t>
            </w:r>
          </w:p>
        </w:tc>
        <w:tc>
          <w:tcPr>
            <w:vAlign w:val="center"/>
          </w:tcPr>
          <w:p>
            <w:pPr>
              <w:jc w:val="right"/>
            </w:pPr>
            <w:r>
              <w:t>0.07</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2.49</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7.00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14.50</w:t>
            </w:r>
          </w:p>
        </w:tc>
        <w:tc>
          <w:tcPr>
            <w:vAlign w:val="center"/>
          </w:tcPr>
          <w:p>
            <w:pPr>
              <w:jc w:val="right"/>
            </w:pPr>
            <w:r>
              <w:t>32.94</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pPr>
      <w:bookmarkStart w:id="124" w:name="_Toc25512"/>
      <w:r>
        <w:t>计算结果</w:t>
      </w:r>
      <w:bookmarkEnd w:id="124"/>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877" w:type="pct"/>
            <w:vAlign w:val="center"/>
          </w:tcPr>
          <w:p>
            <w:pPr>
              <w:ind w:firstLine="0" w:firstLineChars="0"/>
              <w:jc w:val="center"/>
              <w:rPr>
                <w:lang w:val="en-US"/>
              </w:rPr>
            </w:pPr>
            <w:r>
              <w:rPr>
                <w:rFonts w:hint="eastAsia"/>
                <w:lang w:val="en-US"/>
              </w:rPr>
              <w:t>28.29</w:t>
            </w:r>
            <w:bookmarkEnd w:id="3"/>
          </w:p>
        </w:tc>
        <w:tc>
          <w:tcPr>
            <w:tcW w:w="877" w:type="pct"/>
            <w:vAlign w:val="center"/>
          </w:tcPr>
          <w:p>
            <w:pPr>
              <w:ind w:firstLine="0" w:firstLineChars="0"/>
              <w:jc w:val="center"/>
              <w:rPr>
                <w:lang w:val="en-US"/>
              </w:rPr>
            </w:pPr>
            <w:r>
              <w:rPr>
                <w:rFonts w:hint="eastAsia"/>
                <w:lang w:val="en-US"/>
              </w:rPr>
              <w:t>33.35</w:t>
            </w:r>
            <w:bookmarkEnd w:id="4"/>
          </w:p>
        </w:tc>
        <w:tc>
          <w:tcPr>
            <w:tcW w:w="960" w:type="pct"/>
            <w:vAlign w:val="center"/>
          </w:tcPr>
          <w:p>
            <w:pPr>
              <w:ind w:firstLine="0" w:firstLineChars="0"/>
              <w:jc w:val="center"/>
              <w:rPr>
                <w:lang w:val="en-US"/>
              </w:rPr>
            </w:pPr>
            <w:r>
              <w:rPr>
                <w:rFonts w:hint="eastAsia"/>
                <w:kern w:val="2"/>
                <w:szCs w:val="24"/>
                <w:lang w:val="en-US"/>
              </w:rPr>
              <w:t>15.19%</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r>
              <w:rPr>
                <w:rFonts w:hint="eastAsia"/>
                <w:lang w:val="en-US"/>
              </w:rPr>
              <w:t>27.13</w:t>
            </w:r>
            <w:bookmarkEnd w:id="6"/>
          </w:p>
        </w:tc>
        <w:tc>
          <w:tcPr>
            <w:tcW w:w="877" w:type="pct"/>
            <w:vAlign w:val="center"/>
          </w:tcPr>
          <w:p>
            <w:pPr>
              <w:ind w:firstLine="0" w:firstLineChars="0"/>
              <w:jc w:val="center"/>
              <w:rPr>
                <w:lang w:val="en-US"/>
              </w:rPr>
            </w:pPr>
            <w:r>
              <w:rPr>
                <w:lang w:val="en-US"/>
              </w:rPr>
              <w:t>62.59</w:t>
            </w:r>
            <w:bookmarkEnd w:id="9"/>
          </w:p>
        </w:tc>
        <w:tc>
          <w:tcPr>
            <w:tcW w:w="960" w:type="pct"/>
            <w:vAlign w:val="center"/>
          </w:tcPr>
          <w:p>
            <w:pPr>
              <w:ind w:firstLine="0" w:firstLineChars="0"/>
              <w:jc w:val="center"/>
              <w:rPr>
                <w:lang w:val="en-US"/>
              </w:rPr>
            </w:pPr>
            <w:r>
              <w:rPr>
                <w:rFonts w:hint="eastAsia"/>
                <w:kern w:val="2"/>
                <w:szCs w:val="24"/>
                <w:lang w:val="en-US"/>
              </w:rPr>
              <w:t>56.65%</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r>
              <w:rPr>
                <w:rFonts w:hint="eastAsia"/>
                <w:lang w:val="en-US"/>
              </w:rPr>
              <w:t>55.42</w:t>
            </w:r>
            <w:bookmarkEnd w:id="11"/>
          </w:p>
        </w:tc>
        <w:tc>
          <w:tcPr>
            <w:tcW w:w="877" w:type="pct"/>
            <w:vAlign w:val="center"/>
          </w:tcPr>
          <w:p>
            <w:pPr>
              <w:ind w:firstLine="0" w:firstLineChars="0"/>
              <w:jc w:val="center"/>
              <w:rPr>
                <w:lang w:val="en-US"/>
              </w:rPr>
            </w:pPr>
            <w:r>
              <w:rPr>
                <w:rFonts w:hint="eastAsia"/>
                <w:lang w:val="en-US"/>
              </w:rPr>
              <w:t>95.94</w:t>
            </w:r>
            <w:bookmarkEnd w:id="12"/>
          </w:p>
        </w:tc>
        <w:tc>
          <w:tcPr>
            <w:tcW w:w="960" w:type="pct"/>
            <w:vAlign w:val="center"/>
          </w:tcPr>
          <w:p>
            <w:pPr>
              <w:ind w:firstLine="0" w:firstLineChars="0"/>
              <w:jc w:val="center"/>
              <w:rPr>
                <w:lang w:val="en-US"/>
              </w:rPr>
            </w:pPr>
            <w:r>
              <w:rPr>
                <w:rFonts w:hint="eastAsia"/>
                <w:kern w:val="2"/>
                <w:szCs w:val="24"/>
                <w:lang w:val="en-US"/>
              </w:rPr>
              <w:t>42.24%</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4" w:space="0"/>
            </w:tcBorders>
            <w:vAlign w:val="center"/>
          </w:tcPr>
          <w:p>
            <w:pPr>
              <w:ind w:firstLine="0" w:firstLineChars="0"/>
              <w:jc w:val="center"/>
              <w:rPr>
                <w:lang w:val="en-US"/>
              </w:rPr>
            </w:pPr>
            <w:r>
              <w:rPr>
                <w:rFonts w:hint="eastAsia"/>
                <w:lang w:val="en-US"/>
              </w:rPr>
              <w:t>中央冷源</w:t>
            </w:r>
          </w:p>
        </w:tc>
        <w:tc>
          <w:tcPr>
            <w:tcW w:w="877" w:type="pct"/>
            <w:vAlign w:val="center"/>
          </w:tcPr>
          <w:p>
            <w:pPr>
              <w:ind w:firstLine="0" w:firstLineChars="0"/>
              <w:jc w:val="center"/>
              <w:rPr>
                <w:lang w:val="en-US"/>
              </w:rPr>
            </w:pPr>
            <w:r>
              <w:rPr>
                <w:lang w:val="en-US"/>
              </w:rPr>
              <w:t>0.00</w:t>
            </w:r>
            <w:bookmarkEnd w:id="15"/>
          </w:p>
        </w:tc>
        <w:tc>
          <w:tcPr>
            <w:tcW w:w="877" w:type="pct"/>
            <w:vAlign w:val="center"/>
          </w:tcPr>
          <w:p>
            <w:pPr>
              <w:ind w:firstLine="0" w:firstLineChars="0"/>
              <w:jc w:val="center"/>
              <w:rPr>
                <w:lang w:val="en-US"/>
              </w:rPr>
            </w:pPr>
            <w:r>
              <w:rPr>
                <w:lang w:val="en-US"/>
              </w:rPr>
              <w:t>0.00</w:t>
            </w:r>
            <w:bookmarkEnd w:id="16"/>
          </w:p>
        </w:tc>
        <w:tc>
          <w:tcPr>
            <w:tcW w:w="960" w:type="pct"/>
            <w:vMerge w:val="restart"/>
            <w:vAlign w:val="center"/>
          </w:tcPr>
          <w:p>
            <w:pPr>
              <w:ind w:firstLine="0" w:firstLineChars="0"/>
              <w:jc w:val="center"/>
              <w:rPr>
                <w:lang w:val="en-US"/>
              </w:rPr>
            </w:pPr>
            <w:r>
              <w:rPr>
                <w:lang w:val="en-US"/>
              </w:rPr>
              <w:t>34.98%</w:t>
            </w:r>
            <w:bookmarkEnd w:id="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0.00</w:t>
            </w:r>
            <w:bookmarkEnd w:id="20"/>
          </w:p>
        </w:tc>
        <w:tc>
          <w:tcPr>
            <w:tcW w:w="877" w:type="pct"/>
            <w:vAlign w:val="center"/>
          </w:tcPr>
          <w:p>
            <w:pPr>
              <w:ind w:firstLine="0" w:firstLineChars="0"/>
              <w:jc w:val="center"/>
              <w:rPr>
                <w:lang w:val="en-US"/>
              </w:rPr>
            </w:pPr>
            <w:r>
              <w:rPr>
                <w:lang w:val="en-US"/>
              </w:rPr>
              <w:t>0.00</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9.43</w:t>
            </w:r>
            <w:bookmarkEnd w:id="22"/>
          </w:p>
        </w:tc>
        <w:tc>
          <w:tcPr>
            <w:tcW w:w="877" w:type="pct"/>
            <w:vAlign w:val="center"/>
          </w:tcPr>
          <w:p>
            <w:pPr>
              <w:ind w:firstLine="0" w:firstLineChars="0"/>
              <w:jc w:val="center"/>
              <w:rPr>
                <w:lang w:val="en-US"/>
              </w:rPr>
            </w:pPr>
            <w:r>
              <w:rPr>
                <w:lang w:val="en-US"/>
              </w:rPr>
              <w:t>14.50</w:t>
            </w:r>
            <w:bookmarkEnd w:id="2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9.43</w:t>
            </w:r>
            <w:bookmarkEnd w:id="24"/>
          </w:p>
        </w:tc>
        <w:tc>
          <w:tcPr>
            <w:tcW w:w="877" w:type="pct"/>
            <w:vAlign w:val="center"/>
          </w:tcPr>
          <w:p>
            <w:pPr>
              <w:ind w:firstLine="0" w:firstLineChars="0"/>
              <w:jc w:val="center"/>
              <w:rPr>
                <w:lang w:val="en-US"/>
              </w:rPr>
            </w:pPr>
            <w:r>
              <w:rPr>
                <w:lang w:val="en-US"/>
              </w:rPr>
              <w:t>14.50</w:t>
            </w:r>
            <w:bookmarkEnd w:id="2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0.00</w:t>
            </w:r>
            <w:bookmarkEnd w:id="26"/>
          </w:p>
        </w:tc>
        <w:tc>
          <w:tcPr>
            <w:tcW w:w="877" w:type="pct"/>
            <w:vAlign w:val="center"/>
          </w:tcPr>
          <w:p>
            <w:pPr>
              <w:ind w:firstLine="0" w:firstLineChars="0"/>
              <w:jc w:val="center"/>
              <w:rPr>
                <w:lang w:val="en-US"/>
              </w:rPr>
            </w:pPr>
            <w:r>
              <w:rPr>
                <w:lang w:val="en-US"/>
              </w:rPr>
              <w:t>0.00</w:t>
            </w:r>
            <w:bookmarkEnd w:id="27"/>
          </w:p>
        </w:tc>
        <w:tc>
          <w:tcPr>
            <w:tcW w:w="960" w:type="pct"/>
            <w:vMerge w:val="restart"/>
            <w:vAlign w:val="center"/>
          </w:tcPr>
          <w:p>
            <w:pPr>
              <w:ind w:firstLine="0" w:firstLineChars="0"/>
              <w:jc w:val="center"/>
              <w:rPr>
                <w:lang w:val="en-US"/>
              </w:rPr>
            </w:pPr>
            <w:r>
              <w:rPr>
                <w:rFonts w:hint="eastAsia"/>
                <w:lang w:val="en-US"/>
              </w:rPr>
              <w:t>69.49%</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0.00</w:t>
            </w:r>
            <w:bookmarkEnd w:id="29"/>
          </w:p>
        </w:tc>
        <w:tc>
          <w:tcPr>
            <w:tcW w:w="877" w:type="pct"/>
            <w:vAlign w:val="center"/>
          </w:tcPr>
          <w:p>
            <w:pPr>
              <w:ind w:firstLine="0" w:firstLineChars="0"/>
              <w:jc w:val="center"/>
              <w:rPr>
                <w:lang w:val="en-US"/>
              </w:rPr>
            </w:pPr>
            <w:r>
              <w:rPr>
                <w:lang w:val="en-US"/>
              </w:rPr>
              <w:t>0.00</w:t>
            </w:r>
            <w:bookmarkEnd w:id="30"/>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10.05</w:t>
            </w:r>
            <w:bookmarkEnd w:id="31"/>
          </w:p>
        </w:tc>
        <w:tc>
          <w:tcPr>
            <w:tcW w:w="877" w:type="pct"/>
            <w:vAlign w:val="center"/>
          </w:tcPr>
          <w:p>
            <w:pPr>
              <w:ind w:firstLine="0" w:firstLineChars="0"/>
              <w:jc w:val="center"/>
              <w:rPr>
                <w:lang w:val="en-US"/>
              </w:rPr>
            </w:pPr>
            <w:r>
              <w:rPr>
                <w:lang w:val="en-US"/>
              </w:rPr>
              <w:t>32.94</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10.05</w:t>
            </w:r>
            <w:bookmarkEnd w:id="32"/>
          </w:p>
        </w:tc>
        <w:tc>
          <w:tcPr>
            <w:tcW w:w="877" w:type="pct"/>
            <w:vAlign w:val="center"/>
          </w:tcPr>
          <w:p>
            <w:pPr>
              <w:ind w:firstLine="0" w:firstLineChars="0"/>
              <w:jc w:val="center"/>
              <w:rPr>
                <w:lang w:val="en-US"/>
              </w:rPr>
            </w:pPr>
            <w:r>
              <w:rPr>
                <w:lang w:val="en-US"/>
              </w:rPr>
              <w:t>32.94</w:t>
            </w:r>
            <w:bookmarkEnd w:id="34"/>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建筑电耗</w:t>
            </w:r>
          </w:p>
        </w:tc>
        <w:tc>
          <w:tcPr>
            <w:tcW w:w="877" w:type="pct"/>
            <w:vAlign w:val="center"/>
          </w:tcPr>
          <w:p>
            <w:pPr>
              <w:ind w:firstLine="0" w:firstLineChars="0"/>
              <w:jc w:val="center"/>
              <w:rPr>
                <w:lang w:val="en-US"/>
              </w:rPr>
            </w:pPr>
            <w:r>
              <w:rPr>
                <w:rFonts w:hint="eastAsia"/>
                <w:lang w:val="en-US"/>
              </w:rPr>
              <w:t>19.48</w:t>
            </w:r>
            <w:bookmarkEnd w:id="36"/>
          </w:p>
        </w:tc>
        <w:tc>
          <w:tcPr>
            <w:tcW w:w="877" w:type="pct"/>
            <w:vAlign w:val="center"/>
          </w:tcPr>
          <w:p>
            <w:pPr>
              <w:ind w:firstLine="0" w:firstLineChars="0"/>
              <w:jc w:val="center"/>
              <w:rPr>
                <w:lang w:val="en-US"/>
              </w:rPr>
            </w:pPr>
            <w:r>
              <w:rPr>
                <w:rFonts w:hint="eastAsia"/>
                <w:lang w:val="en-US"/>
              </w:rPr>
              <w:t>47.44</w:t>
            </w:r>
            <w:bookmarkEnd w:id="37"/>
          </w:p>
        </w:tc>
        <w:tc>
          <w:tcPr>
            <w:tcW w:w="960" w:type="pct"/>
            <w:vAlign w:val="center"/>
          </w:tcPr>
          <w:p>
            <w:pPr>
              <w:ind w:firstLine="0" w:firstLineChars="0"/>
              <w:jc w:val="center"/>
              <w:rPr>
                <w:lang w:val="en-US"/>
              </w:rPr>
            </w:pPr>
            <w:r>
              <w:rPr>
                <w:rFonts w:hint="eastAsia"/>
                <w:lang w:val="en-US"/>
              </w:rPr>
              <w:t>58.95%</w:t>
            </w:r>
            <w:bookmarkEnd w:id="40"/>
          </w:p>
        </w:tc>
      </w:tr>
    </w:tbl>
    <w:p/>
    <w:p/>
    <w:p>
      <w:pPr>
        <w:pStyle w:val="2"/>
      </w:pPr>
      <w:bookmarkStart w:id="125" w:name="_Toc6640"/>
      <w:r>
        <w:t>绿色建筑性能评估得分</w:t>
      </w:r>
      <w:bookmarkEnd w:id="125"/>
    </w:p>
    <w:p>
      <w:pPr>
        <w:pStyle w:val="4"/>
      </w:pPr>
      <w:bookmarkStart w:id="126" w:name="_Toc20781"/>
      <w:r>
        <w:t>降低建筑能耗</w:t>
      </w:r>
      <w:bookmarkEnd w:id="126"/>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建筑能耗相比国家现行有关建筑节能标准降低10%</w:t>
            </w:r>
          </w:p>
        </w:tc>
        <w:tc>
          <w:tcPr>
            <w:vAlign w:val="center"/>
          </w:tcPr>
          <w:p>
            <w:r>
              <w:t>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建筑能耗相比国家现行有关建筑节能标准降低20%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50378-2019第7.2.8条</w:t>
            </w:r>
          </w:p>
        </w:tc>
      </w:tr>
    </w:tbl>
    <w:p>
      <w:pPr>
        <w:pStyle w:val="4"/>
      </w:pPr>
      <w:bookmarkStart w:id="127" w:name="_Toc3238"/>
      <w:r>
        <w:t>降低建筑供暖空调系统能耗</w:t>
      </w:r>
      <w:bookmarkEnd w:id="127"/>
    </w:p>
    <w:p>
      <w:r>
        <w:t>建筑供暖空调系统能耗相比国家现行有关建筑节能标准降低幅度及对应得分情况：</w:t>
      </w:r>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降低40%</w:t>
            </w:r>
          </w:p>
        </w:tc>
        <w:tc>
          <w:tcPr>
            <w:vAlign w:val="center"/>
          </w:tcPr>
          <w:p>
            <w:r>
              <w:t>10</w:t>
            </w:r>
          </w:p>
        </w:tc>
        <w:tc>
          <w:tcPr>
            <w:vMerge w:val="restart"/>
            <w:vAlign w:val="center"/>
          </w:tcPr>
          <w:p>
            <w:pPr>
              <w:jc w:val="center"/>
            </w:pPr>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降低50%</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降低60%</w:t>
            </w:r>
          </w:p>
        </w:tc>
        <w:tc>
          <w:tcPr>
            <w:vAlign w:val="center"/>
          </w:tcPr>
          <w:p>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降低70%</w:t>
            </w:r>
          </w:p>
        </w:tc>
        <w:tc>
          <w:tcPr>
            <w:vAlign w:val="center"/>
          </w:tcPr>
          <w:p>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降低80%</w:t>
            </w:r>
          </w:p>
        </w:tc>
        <w:tc>
          <w:tcPr>
            <w:vAlign w:val="center"/>
          </w:tcPr>
          <w:p>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50378-2019第9.2.1条</w:t>
            </w:r>
          </w:p>
        </w:tc>
      </w:tr>
    </w:tbl>
    <w:p>
      <w:pPr>
        <w:jc w:val="center"/>
      </w:pPr>
    </w:p>
    <w:p/>
    <w:p>
      <w:pPr>
        <w:jc w:val="center"/>
      </w:pPr>
    </w:p>
    <w:p/>
    <w:p>
      <w:pPr>
        <w:sectPr>
          <w:pgSz w:w="11906" w:h="16838"/>
          <w:pgMar w:top="1440" w:right="1418" w:bottom="1440" w:left="1418" w:header="851" w:footer="992" w:gutter="0"/>
          <w:cols w:space="425" w:num="1"/>
          <w:docGrid w:type="lines" w:linePitch="312" w:charSpace="0"/>
        </w:sectPr>
      </w:pPr>
    </w:p>
    <w:p>
      <w:pPr>
        <w:pStyle w:val="2"/>
      </w:pPr>
      <w:bookmarkStart w:id="128" w:name="_Toc10330"/>
      <w:r>
        <w:t>附录</w:t>
      </w:r>
      <w:bookmarkEnd w:id="128"/>
    </w:p>
    <w:p>
      <w:pPr>
        <w:pStyle w:val="4"/>
      </w:pPr>
      <w:bookmarkStart w:id="129" w:name="_Toc21972"/>
      <w:r>
        <w:t>工作日/节假日人员逐时在室率(%)</w:t>
      </w:r>
      <w:bookmarkEnd w:id="129"/>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52</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
      <w:r>
        <w:t>注：上行：工作日；下行：节假日</w:t>
      </w:r>
    </w:p>
    <w:p>
      <w:pPr>
        <w:pStyle w:val="4"/>
      </w:pPr>
      <w:bookmarkStart w:id="130" w:name="_Toc19157"/>
      <w:r>
        <w:t>工作日/节假日照明开关时间表(%)</w:t>
      </w:r>
      <w:bookmarkEnd w:id="130"/>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bookmarkStart w:id="131" w:name="_Toc13815"/>
      <w:r>
        <w:t>工作日/节假日设备逐时使用率(%)</w:t>
      </w:r>
      <w:bookmarkEnd w:id="131"/>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主卧室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次卧室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过厅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pPr>
        <w:pStyle w:val="4"/>
      </w:pPr>
      <w:bookmarkStart w:id="132" w:name="_Toc3791"/>
      <w:r>
        <w:t>工作日/节假日空调系统运行时间表(1:开,0:关)</w:t>
      </w:r>
      <w:bookmarkEnd w:id="132"/>
    </w:p>
    <w:p/>
    <w:bookmarkEnd w:id="0"/>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1457B"/>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B1303"/>
    <w:rsid w:val="003E0BD9"/>
    <w:rsid w:val="004B4FD9"/>
    <w:rsid w:val="004D230F"/>
    <w:rsid w:val="004D449D"/>
    <w:rsid w:val="00517BC7"/>
    <w:rsid w:val="005215FB"/>
    <w:rsid w:val="00534262"/>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 w:val="0CB45D61"/>
    <w:rsid w:val="3801457B"/>
    <w:rsid w:val="4957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4"/>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semiHidden/>
    <w:uiPriority w:val="0"/>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qFormat/>
    <w:uiPriority w:val="0"/>
    <w:rPr>
      <w:color w:val="0000FF"/>
      <w:u w:val="single"/>
    </w:rPr>
  </w:style>
  <w:style w:type="character" w:customStyle="1" w:styleId="24">
    <w:name w:val="批注框文本 Char"/>
    <w:basedOn w:val="21"/>
    <w:link w:val="14"/>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uu\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19</Pages>
  <Words>6836</Words>
  <Characters>11220</Characters>
  <Lines>45</Lines>
  <Paragraphs>12</Paragraphs>
  <TotalTime>1</TotalTime>
  <ScaleCrop>false</ScaleCrop>
  <LinksUpToDate>false</LinksUpToDate>
  <CharactersWithSpaces>11428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2022-01-05T07:30:00Z</dcterms:created>
  <dc:creator>aqua</dc:creator>
  <cp:lastModifiedBy>aqua</cp:lastModifiedBy>
  <dcterms:modified xsi:type="dcterms:W3CDTF">2022-01-05T14:29:51Z</dcterms:modified>
  <dc:title>综合能耗节能率计算书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