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</w:pPr>
      <w:r>
        <w:rPr>
          <w:rFonts w:hint="eastAsia"/>
        </w:rPr>
        <w:t>11.2.8 建筑方案充分考虑所在地域的气候、环境、资源，结合场地特征和建筑功能，进行技术经济分析，显著提高源资利用效率和建筑性能。（总分2分）</w:t>
      </w:r>
    </w:p>
    <w:p>
      <w:pPr>
        <w:autoSpaceDE w:val="0"/>
        <w:autoSpaceDN w:val="0"/>
        <w:adjustRightInd w:val="0"/>
        <w:spacing w:before="120" w:after="120" w:line="360" w:lineRule="auto"/>
        <w:rPr>
          <w:rFonts w:eastAsia="黑体" w:cs="黑体"/>
          <w:b/>
          <w:bCs/>
          <w:sz w:val="24"/>
          <w:szCs w:val="32"/>
        </w:rPr>
      </w:pPr>
    </w:p>
    <w:p>
      <w:pPr>
        <w:pStyle w:val="7"/>
        <w:adjustRightInd w:val="0"/>
        <w:snapToGrid w:val="0"/>
        <w:spacing w:line="288" w:lineRule="auto"/>
        <w:ind w:firstLine="0" w:firstLineChars="0"/>
        <w:rPr>
          <w:rFonts w:ascii="宋体" w:hAnsi="宋体" w:cs="宋体"/>
          <w:b/>
          <w:kern w:val="0"/>
          <w:szCs w:val="21"/>
        </w:rPr>
      </w:pPr>
      <w:r>
        <w:rPr>
          <w:rFonts w:hint="eastAsia" w:ascii="宋体" w:hAnsi="宋体" w:cs="宋体"/>
          <w:b/>
          <w:kern w:val="0"/>
          <w:szCs w:val="21"/>
        </w:rPr>
        <w:t>1）自评得分</w:t>
      </w:r>
    </w:p>
    <w:tbl>
      <w:tblPr>
        <w:tblStyle w:val="4"/>
        <w:tblW w:w="8556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97"/>
        <w:gridCol w:w="1240"/>
        <w:gridCol w:w="12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97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</w:rPr>
              <w:t>评价内容</w:t>
            </w:r>
          </w:p>
        </w:tc>
        <w:tc>
          <w:tcPr>
            <w:tcW w:w="1240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</w:rPr>
              <w:t>评价分值</w:t>
            </w:r>
          </w:p>
        </w:tc>
        <w:tc>
          <w:tcPr>
            <w:tcW w:w="1219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</w:rPr>
              <w:t>自评分值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97" w:type="dxa"/>
            <w:vAlign w:val="center"/>
          </w:tcPr>
          <w:p>
            <w:pPr>
              <w:spacing w:line="288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建筑方案充分考虑所在地域的气候、环境、资源，结合场特征和建筑功能，进行技术经济分析，显著提高源资利用效率和建筑性能。</w:t>
            </w:r>
          </w:p>
        </w:tc>
        <w:tc>
          <w:tcPr>
            <w:tcW w:w="1240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</w:t>
            </w:r>
          </w:p>
        </w:tc>
        <w:tc>
          <w:tcPr>
            <w:tcW w:w="1219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97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总计</w:t>
            </w:r>
          </w:p>
        </w:tc>
        <w:tc>
          <w:tcPr>
            <w:tcW w:w="1240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</w:t>
            </w:r>
          </w:p>
        </w:tc>
        <w:tc>
          <w:tcPr>
            <w:tcW w:w="1219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</w:t>
            </w:r>
          </w:p>
        </w:tc>
      </w:tr>
    </w:tbl>
    <w:p>
      <w:pPr>
        <w:adjustRightInd w:val="0"/>
        <w:snapToGrid w:val="0"/>
        <w:spacing w:line="288" w:lineRule="auto"/>
        <w:ind w:left="-57" w:leftChars="-204" w:hanging="371" w:hangingChars="176"/>
        <w:rPr>
          <w:rFonts w:ascii="宋体" w:hAnsi="宋体" w:cs="宋体"/>
          <w:b/>
          <w:kern w:val="0"/>
          <w:szCs w:val="21"/>
        </w:rPr>
      </w:pPr>
    </w:p>
    <w:p>
      <w:pPr>
        <w:pStyle w:val="7"/>
        <w:adjustRightInd w:val="0"/>
        <w:snapToGrid w:val="0"/>
        <w:spacing w:line="288" w:lineRule="auto"/>
        <w:ind w:firstLine="0" w:firstLineChars="0"/>
        <w:rPr>
          <w:rFonts w:ascii="宋体" w:hAnsi="宋体" w:cs="宋体"/>
          <w:b/>
          <w:kern w:val="0"/>
          <w:szCs w:val="21"/>
        </w:rPr>
      </w:pPr>
      <w:r>
        <w:rPr>
          <w:rFonts w:hint="eastAsia" w:ascii="宋体" w:hAnsi="宋体" w:cs="宋体"/>
          <w:b/>
          <w:kern w:val="0"/>
          <w:szCs w:val="21"/>
        </w:rPr>
        <w:t>2）评价要点</w:t>
      </w:r>
    </w:p>
    <w:p>
      <w:pPr>
        <w:adjustRightInd w:val="0"/>
        <w:snapToGrid w:val="0"/>
        <w:spacing w:line="288" w:lineRule="auto"/>
        <w:ind w:left="-59" w:leftChars="-54" w:hanging="54" w:hangingChars="26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简要说明建筑</w:t>
      </w:r>
      <w:r>
        <w:rPr>
          <w:rFonts w:ascii="宋体" w:hAnsi="宋体" w:cs="宋体"/>
          <w:kern w:val="0"/>
          <w:szCs w:val="21"/>
        </w:rPr>
        <w:t>方案在提高资源利用效率和建筑性能方面的措施（包括项目所在地域的气候、环境、资源，并结合场地</w:t>
      </w:r>
      <w:r>
        <w:rPr>
          <w:rFonts w:hint="eastAsia" w:ascii="宋体" w:hAnsi="宋体" w:cs="宋体"/>
          <w:kern w:val="0"/>
          <w:szCs w:val="21"/>
        </w:rPr>
        <w:t>特征</w:t>
      </w:r>
      <w:r>
        <w:rPr>
          <w:rFonts w:ascii="宋体" w:hAnsi="宋体" w:cs="宋体"/>
          <w:kern w:val="0"/>
          <w:szCs w:val="21"/>
        </w:rPr>
        <w:t>和建筑功能</w:t>
      </w:r>
      <w:r>
        <w:rPr>
          <w:rFonts w:hint="eastAsia" w:ascii="宋体" w:hAnsi="宋体" w:cs="宋体"/>
          <w:kern w:val="0"/>
          <w:szCs w:val="21"/>
        </w:rPr>
        <w:t>）（</w:t>
      </w:r>
      <w:r>
        <w:rPr>
          <w:rFonts w:ascii="宋体" w:hAnsi="宋体" w:cs="宋体"/>
          <w:kern w:val="0"/>
          <w:szCs w:val="21"/>
        </w:rPr>
        <w:t>3</w:t>
      </w:r>
      <w:r>
        <w:rPr>
          <w:rFonts w:hint="eastAsia" w:ascii="宋体" w:hAnsi="宋体" w:cs="宋体"/>
          <w:kern w:val="0"/>
          <w:szCs w:val="21"/>
        </w:rPr>
        <w:t>00字以内）。</w:t>
      </w:r>
    </w:p>
    <w:tbl>
      <w:tblPr>
        <w:tblStyle w:val="4"/>
        <w:tblW w:w="8506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9" w:hRule="atLeast"/>
        </w:trPr>
        <w:tc>
          <w:tcPr>
            <w:tcW w:w="8506" w:type="dxa"/>
          </w:tcPr>
          <w:p>
            <w:pPr>
              <w:ind w:firstLine="422" w:firstLineChars="200"/>
            </w:pPr>
            <w:r>
              <w:rPr>
                <w:rFonts w:hint="eastAsia" w:ascii="宋体" w:hAnsi="宋体" w:eastAsia="宋体" w:cs="宋体"/>
                <w:b/>
                <w:i w:val="0"/>
                <w:caps w:val="0"/>
                <w:color w:val="000000"/>
                <w:spacing w:val="0"/>
                <w:sz w:val="21"/>
                <w:szCs w:val="21"/>
              </w:rPr>
              <w:t>在建筑采光方面，通过场地移栽部分树木从而改善冬季日照不足的现状；在两种建筑组团中，多层建筑宅间移栽南窗树木将获得最大的采光收益，两层建筑宅间则间隔移栽树木获得最大的采光收益。在风环境的模拟过程中，着重利用了多层建筑东部端头的夏季高风速区域，将其一二层进行部分架空处理，结合建筑灰空间设置了高风速区的活动场地。在海绵城市系统构建上，利用社区由北向南地势逐渐降低的特点，增设植草沟并在其下铺设排水净水管网，在地形低洼处中心广场区域设置集中性蓄水池，相互连接形成蓄水系统；中心广场用透水性的铺装增强雨水的渗排；社区多层住宅宅间地表沙化现象严重，设计多功能调蓄雨水花园进行改造，主要包括道路生态系统和景观雨水系统两部分；户型改造中采用“小而微”的针灸改造方式。调整户型厕所位置，中间中空形成竖向庭院空间能够形成狭管效应，兼具拔风和采光的作用。</w:t>
            </w:r>
          </w:p>
          <w:p>
            <w:pPr>
              <w:adjustRightInd w:val="0"/>
              <w:snapToGrid w:val="0"/>
              <w:spacing w:line="288" w:lineRule="auto"/>
              <w:rPr>
                <w:rFonts w:ascii="宋体" w:hAnsi="宋体" w:cs="宋体"/>
                <w:b/>
                <w:kern w:val="0"/>
                <w:szCs w:val="21"/>
              </w:rPr>
            </w:pPr>
          </w:p>
        </w:tc>
      </w:tr>
    </w:tbl>
    <w:p>
      <w:pPr>
        <w:adjustRightInd w:val="0"/>
        <w:snapToGrid w:val="0"/>
        <w:spacing w:line="288" w:lineRule="auto"/>
        <w:ind w:left="-59" w:leftChars="-202" w:hanging="365" w:hangingChars="173"/>
        <w:jc w:val="left"/>
        <w:rPr>
          <w:rFonts w:ascii="宋体" w:hAnsi="宋体" w:cs="宋体"/>
          <w:b/>
          <w:kern w:val="0"/>
          <w:szCs w:val="21"/>
        </w:rPr>
      </w:pPr>
    </w:p>
    <w:p>
      <w:pPr>
        <w:pStyle w:val="7"/>
        <w:adjustRightInd w:val="0"/>
        <w:snapToGrid w:val="0"/>
        <w:spacing w:line="288" w:lineRule="auto"/>
        <w:ind w:firstLine="0" w:firstLineChars="0"/>
        <w:rPr>
          <w:rFonts w:ascii="宋体" w:hAnsi="宋体" w:cs="宋体"/>
          <w:b/>
          <w:kern w:val="0"/>
          <w:szCs w:val="21"/>
        </w:rPr>
      </w:pPr>
      <w:r>
        <w:rPr>
          <w:rFonts w:hint="eastAsia" w:ascii="宋体" w:hAnsi="宋体" w:cs="宋体"/>
          <w:b/>
          <w:kern w:val="0"/>
          <w:szCs w:val="21"/>
        </w:rPr>
        <w:t>3）证明材料</w:t>
      </w:r>
    </w:p>
    <w:p>
      <w:pPr>
        <w:adjustRightInd w:val="0"/>
        <w:snapToGrid w:val="0"/>
        <w:spacing w:line="288" w:lineRule="auto"/>
        <w:ind w:left="-110"/>
        <w:rPr>
          <w:rFonts w:ascii="宋体" w:hAnsi="宋体" w:cs="宋体"/>
          <w:b/>
          <w:kern w:val="0"/>
          <w:szCs w:val="21"/>
        </w:rPr>
      </w:pPr>
      <w:r>
        <w:rPr>
          <w:rFonts w:hint="eastAsia" w:ascii="宋体" w:hAnsi="宋体" w:cs="宋体"/>
          <w:b/>
          <w:kern w:val="0"/>
          <w:szCs w:val="21"/>
        </w:rPr>
        <w:t>建议提交材料及要求：</w:t>
      </w:r>
    </w:p>
    <w:p>
      <w:pPr>
        <w:pStyle w:val="7"/>
        <w:numPr>
          <w:ilvl w:val="0"/>
          <w:numId w:val="1"/>
        </w:numPr>
        <w:adjustRightInd w:val="0"/>
        <w:snapToGrid w:val="0"/>
        <w:spacing w:line="288" w:lineRule="auto"/>
        <w:ind w:firstLineChars="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建筑设计</w:t>
      </w:r>
      <w:r>
        <w:rPr>
          <w:rFonts w:ascii="宋体" w:hAnsi="宋体" w:cs="宋体"/>
          <w:kern w:val="0"/>
          <w:szCs w:val="21"/>
        </w:rPr>
        <w:t>方案</w:t>
      </w:r>
      <w:r>
        <w:rPr>
          <w:rFonts w:hint="eastAsia" w:ascii="宋体" w:hAnsi="宋体" w:cs="宋体"/>
          <w:kern w:val="0"/>
          <w:szCs w:val="21"/>
        </w:rPr>
        <w:t>：包括项目所在地域的气候、环境、资源，并结合场地特征和建筑功能；</w:t>
      </w:r>
    </w:p>
    <w:p>
      <w:pPr>
        <w:pStyle w:val="7"/>
        <w:numPr>
          <w:ilvl w:val="0"/>
          <w:numId w:val="1"/>
        </w:numPr>
        <w:adjustRightInd w:val="0"/>
        <w:snapToGrid w:val="0"/>
        <w:spacing w:line="288" w:lineRule="auto"/>
        <w:ind w:firstLineChars="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建筑设计</w:t>
      </w:r>
      <w:r>
        <w:rPr>
          <w:rFonts w:ascii="宋体" w:hAnsi="宋体" w:cs="宋体"/>
          <w:kern w:val="0"/>
          <w:szCs w:val="21"/>
        </w:rPr>
        <w:t>方案分析论证过程及报告</w:t>
      </w:r>
      <w:r>
        <w:rPr>
          <w:rFonts w:hint="eastAsia" w:ascii="宋体" w:hAnsi="宋体" w:cs="宋体"/>
          <w:kern w:val="0"/>
          <w:szCs w:val="21"/>
        </w:rPr>
        <w:t>。</w:t>
      </w:r>
    </w:p>
    <w:p>
      <w:pPr>
        <w:adjustRightInd w:val="0"/>
        <w:snapToGrid w:val="0"/>
        <w:spacing w:line="288" w:lineRule="auto"/>
        <w:ind w:left="-54" w:leftChars="-52" w:hanging="55" w:hangingChars="26"/>
        <w:rPr>
          <w:rFonts w:ascii="宋体" w:hAnsi="宋体" w:cs="宋体"/>
          <w:b/>
          <w:kern w:val="0"/>
          <w:szCs w:val="21"/>
        </w:rPr>
      </w:pPr>
      <w:r>
        <w:rPr>
          <w:rFonts w:hint="eastAsia" w:ascii="宋体" w:hAnsi="宋体" w:cs="宋体"/>
          <w:b/>
          <w:kern w:val="0"/>
          <w:szCs w:val="21"/>
        </w:rPr>
        <w:t>实际提交资料：</w:t>
      </w:r>
    </w:p>
    <w:tbl>
      <w:tblPr>
        <w:tblStyle w:val="4"/>
        <w:tblW w:w="8506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1" w:hRule="atLeast"/>
        </w:trPr>
        <w:tc>
          <w:tcPr>
            <w:tcW w:w="8506" w:type="dxa"/>
          </w:tcPr>
          <w:p>
            <w:r>
              <w:drawing>
                <wp:inline distT="0" distB="0" distL="114300" distR="114300">
                  <wp:extent cx="5273675" cy="1946910"/>
                  <wp:effectExtent l="0" t="0" r="14605" b="381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194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5273675" cy="3137535"/>
                  <wp:effectExtent l="0" t="0" r="1460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13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 w:cs="宋体"/>
                <w:kern w:val="0"/>
                <w:sz w:val="24"/>
              </w:rPr>
            </w:pPr>
            <w:r>
              <w:drawing>
                <wp:inline distT="0" distB="0" distL="114300" distR="114300">
                  <wp:extent cx="5272405" cy="2977515"/>
                  <wp:effectExtent l="0" t="0" r="635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297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603121"/>
    <w:multiLevelType w:val="multilevel"/>
    <w:tmpl w:val="5F603121"/>
    <w:lvl w:ilvl="0" w:tentative="0">
      <w:start w:val="1"/>
      <w:numFmt w:val="decimal"/>
      <w:lvlText w:val="%1."/>
      <w:lvlJc w:val="left"/>
      <w:pPr>
        <w:ind w:left="311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731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151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571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1991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411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831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251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671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430E2"/>
    <w:rsid w:val="00B430E2"/>
    <w:rsid w:val="2606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8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2"/>
    <w:next w:val="1"/>
    <w:link w:val="6"/>
    <w:qFormat/>
    <w:uiPriority w:val="0"/>
    <w:pPr>
      <w:snapToGrid w:val="0"/>
      <w:spacing w:before="120" w:after="120" w:line="240" w:lineRule="auto"/>
      <w:jc w:val="left"/>
      <w:outlineLvl w:val="2"/>
    </w:pPr>
    <w:rPr>
      <w:rFonts w:ascii="黑体" w:hAnsi="黑体" w:eastAsia="黑体" w:cs="Times New Roman"/>
      <w:sz w:val="24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标题 3 Char"/>
    <w:basedOn w:val="5"/>
    <w:link w:val="3"/>
    <w:qFormat/>
    <w:uiPriority w:val="0"/>
    <w:rPr>
      <w:rFonts w:ascii="黑体" w:hAnsi="黑体" w:eastAsia="黑体" w:cs="Times New Roman"/>
      <w:b/>
      <w:bCs/>
      <w:sz w:val="24"/>
      <w:szCs w:val="32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标题 2 Char"/>
    <w:basedOn w:val="5"/>
    <w:link w:val="2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49</Words>
  <Characters>283</Characters>
  <Lines>2</Lines>
  <Paragraphs>1</Paragraphs>
  <TotalTime>0</TotalTime>
  <ScaleCrop>false</ScaleCrop>
  <LinksUpToDate>false</LinksUpToDate>
  <CharactersWithSpaces>331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2016-03-22T03:23:00Z</dcterms:created>
  <dc:creator>f</dc:creator>
  <cp:lastModifiedBy>Yan</cp:lastModifiedBy>
  <dcterms:modified xsi:type="dcterms:W3CDTF">2022-03-07T12:53:58Z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