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F25D" w14:textId="77777777" w:rsidR="00000000" w:rsidRDefault="00A053F6">
      <w:pPr>
        <w:pStyle w:val="3"/>
        <w:keepNext/>
        <w:spacing w:before="120" w:beforeAutospacing="0" w:after="120" w:afterAutospacing="0"/>
        <w:divId w:val="680282136"/>
      </w:pPr>
      <w:r>
        <w:rPr>
          <w:rFonts w:ascii="黑体" w:eastAsia="黑体" w:hAnsi="黑体" w:hint="eastAsia"/>
          <w:sz w:val="24"/>
          <w:szCs w:val="24"/>
        </w:rPr>
        <w:t>4.2.7</w:t>
      </w:r>
      <w:r>
        <w:rPr>
          <w:rFonts w:ascii="黑体" w:eastAsia="黑体" w:hAnsi="黑体" w:hint="eastAsia"/>
          <w:sz w:val="24"/>
          <w:szCs w:val="24"/>
        </w:rPr>
        <w:t>采取措施降低热岛强度。（总分</w:t>
      </w:r>
      <w:r>
        <w:rPr>
          <w:rFonts w:ascii="黑体" w:eastAsia="黑体" w:hAnsi="黑体" w:hint="eastAsia"/>
          <w:sz w:val="24"/>
          <w:szCs w:val="24"/>
        </w:rPr>
        <w:t>4</w:t>
      </w:r>
      <w:r>
        <w:rPr>
          <w:rFonts w:ascii="黑体" w:eastAsia="黑体" w:hAnsi="黑体" w:hint="eastAsia"/>
          <w:sz w:val="24"/>
          <w:szCs w:val="24"/>
        </w:rPr>
        <w:t>分）</w:t>
      </w:r>
      <w:r>
        <w:rPr>
          <w:rFonts w:hint="eastAsia"/>
        </w:rPr>
        <w:t xml:space="preserve"> </w:t>
      </w:r>
    </w:p>
    <w:p w14:paraId="78A5ACCD" w14:textId="77777777" w:rsidR="00000000" w:rsidRDefault="00A053F6">
      <w:pPr>
        <w:pStyle w:val="a3"/>
        <w:spacing w:before="0" w:beforeAutospacing="0" w:after="0" w:afterAutospacing="0"/>
        <w:jc w:val="both"/>
        <w:divId w:val="680282136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p w14:paraId="06E33E92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hint="eastAsia"/>
          <w:b/>
          <w:bCs/>
          <w:sz w:val="21"/>
          <w:szCs w:val="21"/>
        </w:rPr>
        <w:t>）得分自评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2909"/>
        <w:gridCol w:w="2909"/>
        <w:gridCol w:w="1030"/>
        <w:gridCol w:w="1062"/>
      </w:tblGrid>
      <w:tr w:rsidR="00000000" w14:paraId="2E541C2F" w14:textId="77777777">
        <w:trPr>
          <w:divId w:val="680282136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6E41186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6811B26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  <w:r>
              <w:rPr>
                <w:rFonts w:hint="eastAsia"/>
                <w:sz w:val="21"/>
                <w:szCs w:val="21"/>
              </w:rPr>
              <w:t xml:space="preserve"> 12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FB2FA3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5F47D9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000000" w14:paraId="42F80E71" w14:textId="77777777">
        <w:trPr>
          <w:divId w:val="680282136"/>
          <w:trHeight w:val="331"/>
        </w:trPr>
        <w:tc>
          <w:tcPr>
            <w:tcW w:w="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BCA146F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7ECC9A" w14:textId="77777777" w:rsidR="00000000" w:rsidRDefault="00A053F6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红线范围内户外活动场地有乔木、构筑物遮荫措施的面积比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57C078A" w14:textId="77777777" w:rsidR="00000000" w:rsidRDefault="00A053F6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239F992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52837F9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000000" w14:paraId="211F7D8F" w14:textId="77777777">
        <w:trPr>
          <w:divId w:val="680282136"/>
          <w:trHeight w:val="2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EDBA" w14:textId="77777777" w:rsidR="00000000" w:rsidRDefault="00A053F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C8E6" w14:textId="77777777" w:rsidR="00000000" w:rsidRDefault="00A053F6"/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E1C83D" w14:textId="77777777" w:rsidR="00000000" w:rsidRDefault="00A053F6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达到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20%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DCBBE34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4C95E5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000000" w14:paraId="28A5F992" w14:textId="77777777">
        <w:trPr>
          <w:divId w:val="680282136"/>
          <w:trHeight w:val="314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20AB18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5090E3" w14:textId="77777777" w:rsidR="00000000" w:rsidRDefault="00A053F6">
            <w:pPr>
              <w:pStyle w:val="a3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超过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70%</w:t>
            </w:r>
            <w:r>
              <w:rPr>
                <w:rFonts w:hint="eastAsia"/>
                <w:sz w:val="18"/>
                <w:szCs w:val="18"/>
              </w:rPr>
              <w:t>的道路路面、建筑屋面的太阳辐射反射系数不低于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  <w:r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DD30DC8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C4B023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2</w:t>
            </w:r>
          </w:p>
        </w:tc>
      </w:tr>
      <w:tr w:rsidR="00000000" w14:paraId="3F6C5BA0" w14:textId="77777777">
        <w:trPr>
          <w:divId w:val="680282136"/>
          <w:trHeight w:val="314"/>
        </w:trPr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641B21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71603B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85ADD2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86A41D6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000000" w14:paraId="452C121F" w14:textId="77777777">
        <w:trPr>
          <w:divId w:val="680282136"/>
        </w:trPr>
        <w:tc>
          <w:tcPr>
            <w:tcW w:w="626" w:type="dxa"/>
            <w:vAlign w:val="center"/>
            <w:hideMark/>
          </w:tcPr>
          <w:p w14:paraId="3B03DB66" w14:textId="77777777" w:rsidR="00000000" w:rsidRDefault="00A053F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904" w:type="dxa"/>
            <w:vAlign w:val="center"/>
            <w:hideMark/>
          </w:tcPr>
          <w:p w14:paraId="1E049C77" w14:textId="77777777" w:rsidR="00000000" w:rsidRDefault="00A05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vAlign w:val="center"/>
            <w:hideMark/>
          </w:tcPr>
          <w:p w14:paraId="31F354DA" w14:textId="77777777" w:rsidR="00000000" w:rsidRDefault="00A05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  <w:hideMark/>
          </w:tcPr>
          <w:p w14:paraId="5F0AFDF2" w14:textId="77777777" w:rsidR="00000000" w:rsidRDefault="00A05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  <w:hideMark/>
          </w:tcPr>
          <w:p w14:paraId="43BD0315" w14:textId="77777777" w:rsidR="00000000" w:rsidRDefault="00A053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C012C4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519CCB6F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>）评价要点</w:t>
      </w:r>
      <w:r>
        <w:rPr>
          <w:rFonts w:hint="eastAsia"/>
          <w:sz w:val="21"/>
          <w:szCs w:val="21"/>
        </w:rPr>
        <w:t xml:space="preserve"> </w:t>
      </w:r>
    </w:p>
    <w:p w14:paraId="07354030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红线范围内户外活动场地内的遮荫措施有：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Style w:val="changecolor"/>
          <w:rFonts w:ascii="Segoe UI Symbol" w:hAnsi="Segoe UI Symbol" w:cs="Segoe UI Symbol" w:hint="eastAsia"/>
          <w:b/>
          <w:bCs/>
          <w:sz w:val="21"/>
          <w:szCs w:val="21"/>
        </w:rPr>
        <w:t>√</w:t>
      </w:r>
      <w:r>
        <w:rPr>
          <w:rFonts w:hint="eastAsia"/>
          <w:sz w:val="21"/>
          <w:szCs w:val="21"/>
        </w:rPr>
        <w:t>乔木、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Style w:val="changecolor"/>
          <w:rFonts w:ascii="Segoe UI Symbol" w:hAnsi="Segoe UI Symbol" w:cs="Segoe UI Symbol" w:hint="eastAsia"/>
          <w:b/>
          <w:bCs/>
          <w:sz w:val="21"/>
          <w:szCs w:val="21"/>
        </w:rPr>
        <w:t>√</w:t>
      </w:r>
      <w:r>
        <w:rPr>
          <w:rFonts w:hint="eastAsia"/>
          <w:sz w:val="21"/>
          <w:szCs w:val="21"/>
        </w:rPr>
        <w:t>构筑物（构筑物类型：休息亭）、</w:t>
      </w:r>
      <w:r>
        <w:rPr>
          <w:rStyle w:val="changecolor"/>
          <w:rFonts w:ascii="Segoe UI Symbol" w:hAnsi="Segoe UI Symbol" w:cs="Segoe UI Symbol"/>
          <w:b/>
          <w:bCs/>
          <w:sz w:val="21"/>
          <w:szCs w:val="21"/>
        </w:rPr>
        <w:t>☐</w:t>
      </w:r>
      <w:r>
        <w:rPr>
          <w:rFonts w:hint="eastAsia"/>
          <w:sz w:val="21"/>
          <w:szCs w:val="21"/>
        </w:rPr>
        <w:t>以上皆无。</w:t>
      </w:r>
      <w:r>
        <w:rPr>
          <w:rFonts w:hint="eastAsia"/>
          <w:sz w:val="21"/>
          <w:szCs w:val="21"/>
        </w:rPr>
        <w:t xml:space="preserve"> </w:t>
      </w:r>
    </w:p>
    <w:p w14:paraId="20EC2344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场地内遮荫措施统计：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0"/>
        <w:gridCol w:w="1149"/>
        <w:gridCol w:w="1818"/>
      </w:tblGrid>
      <w:tr w:rsidR="00000000" w14:paraId="7466159E" w14:textId="77777777">
        <w:trPr>
          <w:divId w:val="680282136"/>
        </w:trPr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E11B987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9073102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数值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3EFDFB6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511AC09" w14:textId="77777777">
        <w:trPr>
          <w:divId w:val="680282136"/>
        </w:trPr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B5839B3" w14:textId="77777777" w:rsidR="00000000" w:rsidRDefault="00A053F6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红线范围内户外活动场地面积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2AA3FB3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400 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85A8E4A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15AB07E" w14:textId="77777777">
        <w:trPr>
          <w:divId w:val="680282136"/>
        </w:trPr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201B87A" w14:textId="77777777" w:rsidR="00000000" w:rsidRDefault="00A053F6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线范围内户外活动场地内乔木遮荫措施的面积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0EE6AD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B46A30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7D10EE4A" w14:textId="77777777">
        <w:trPr>
          <w:divId w:val="680282136"/>
        </w:trPr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F31B1C1" w14:textId="77777777" w:rsidR="00000000" w:rsidRDefault="00A053F6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线范围内户外活动场地构筑物遮荫措施的面积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07D2D1B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D381F2D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09C481E0" w14:textId="77777777">
        <w:trPr>
          <w:divId w:val="680282136"/>
        </w:trPr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929122" w14:textId="77777777" w:rsidR="00000000" w:rsidRDefault="00A053F6">
            <w:pPr>
              <w:pStyle w:val="a3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红线范围内户外活动场地内有乔木、构筑物遮荫措施的面积比例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D68FC1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22% 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55C71E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52B715C9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54CBAEB0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道路路面、屋面太阳辐射反射系数统计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580"/>
        <w:gridCol w:w="2846"/>
      </w:tblGrid>
      <w:tr w:rsidR="00000000" w14:paraId="419E4FE3" w14:textId="77777777">
        <w:trPr>
          <w:divId w:val="680282136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4F97AA5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E2C437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数值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38E3544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单位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22489374" w14:textId="77777777">
        <w:trPr>
          <w:divId w:val="680282136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6B9DAA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道路路面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8C79AB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1200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0247926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281AE206" w14:textId="77777777">
        <w:trPr>
          <w:divId w:val="680282136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4D8B27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建筑屋面面积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AE031FC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2100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5EA49B8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41A13386" w14:textId="77777777">
        <w:trPr>
          <w:divId w:val="680282136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A5DD347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太阳辐射反射系数不低于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0.4</w:t>
            </w:r>
            <w:r>
              <w:rPr>
                <w:rFonts w:hint="eastAsia"/>
                <w:sz w:val="21"/>
                <w:szCs w:val="21"/>
              </w:rPr>
              <w:t>的道路路面、建筑屋面面积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C7F0F20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</w:rPr>
              <w:t xml:space="preserve"> 2800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7431A3" w14:textId="77777777" w:rsidR="00000000" w:rsidRDefault="00A053F6">
            <w:pPr>
              <w:pStyle w:val="a3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2</w:t>
            </w:r>
            <w:r>
              <w:rPr>
                <w:rFonts w:hint="eastAsia"/>
              </w:rPr>
              <w:t xml:space="preserve"> </w:t>
            </w:r>
          </w:p>
        </w:tc>
      </w:tr>
      <w:tr w:rsidR="00000000" w14:paraId="3C88A71B" w14:textId="77777777">
        <w:trPr>
          <w:divId w:val="680282136"/>
        </w:trPr>
        <w:tc>
          <w:tcPr>
            <w:tcW w:w="2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427870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太阳辐射反射系数不低于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0.4</w:t>
            </w:r>
            <w:r>
              <w:rPr>
                <w:rFonts w:hint="eastAsia"/>
                <w:sz w:val="21"/>
                <w:szCs w:val="21"/>
              </w:rPr>
              <w:t>的道路路面、建筑屋面面积占道路路面及建筑屋面总面积的比例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1135BF1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84.84 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EBB250A" w14:textId="77777777" w:rsidR="00000000" w:rsidRDefault="00A053F6">
            <w:pPr>
              <w:pStyle w:val="a3"/>
              <w:spacing w:before="0" w:beforeAutospacing="0" w:after="0" w:afterAutospacing="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14:paraId="617F92AB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  <w:sz w:val="21"/>
          <w:szCs w:val="21"/>
        </w:rPr>
        <w:t xml:space="preserve"> </w:t>
      </w:r>
    </w:p>
    <w:p w14:paraId="762A9E7B" w14:textId="77777777" w:rsidR="00000000" w:rsidRDefault="00A053F6">
      <w:pPr>
        <w:pStyle w:val="a3"/>
        <w:spacing w:before="0" w:beforeAutospacing="0" w:after="0" w:afterAutospacing="0" w:line="288" w:lineRule="auto"/>
        <w:ind w:hanging="420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</w:t>
      </w:r>
      <w:r>
        <w:rPr>
          <w:rFonts w:hint="eastAsia"/>
          <w:b/>
          <w:bCs/>
          <w:sz w:val="21"/>
          <w:szCs w:val="21"/>
        </w:rPr>
        <w:t>）证明材料</w:t>
      </w:r>
      <w:r>
        <w:rPr>
          <w:rFonts w:hint="eastAsia"/>
          <w:sz w:val="21"/>
          <w:szCs w:val="21"/>
        </w:rPr>
        <w:t xml:space="preserve"> </w:t>
      </w:r>
    </w:p>
    <w:p w14:paraId="5C0ED842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建议提交材料及要求：</w:t>
      </w:r>
      <w:r>
        <w:rPr>
          <w:rFonts w:hint="eastAsia"/>
          <w:sz w:val="21"/>
          <w:szCs w:val="21"/>
        </w:rPr>
        <w:t xml:space="preserve"> </w:t>
      </w:r>
    </w:p>
    <w:p w14:paraId="408B3451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、景观总平面图：应体现场地内建筑、步道、庭院、广场、游憩场、地面停车场等的位置及面积；应体现场地构筑物的位置，及构筑物的数量、遮荫面积等技术经济指标；</w:t>
      </w:r>
      <w:r>
        <w:rPr>
          <w:rFonts w:hint="eastAsia"/>
          <w:sz w:val="21"/>
          <w:szCs w:val="21"/>
        </w:rPr>
        <w:t xml:space="preserve"> </w:t>
      </w:r>
    </w:p>
    <w:p w14:paraId="3762E72F" w14:textId="77777777" w:rsidR="00000000" w:rsidRDefault="00A053F6">
      <w:pPr>
        <w:pStyle w:val="a3"/>
        <w:spacing w:before="156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、乔木种植平面图：应体现所有乔木的名称及其所在位置；</w:t>
      </w:r>
      <w:r>
        <w:rPr>
          <w:rFonts w:hint="eastAsia"/>
          <w:sz w:val="21"/>
          <w:szCs w:val="21"/>
        </w:rPr>
        <w:t xml:space="preserve"> </w:t>
      </w:r>
    </w:p>
    <w:p w14:paraId="684BD528" w14:textId="77777777" w:rsidR="00000000" w:rsidRDefault="00A053F6">
      <w:pPr>
        <w:pStyle w:val="a3"/>
        <w:spacing w:before="156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、乔木苗木表：应体现各类乔木的名称、数量、成年乔木的树冠正投影面积；</w:t>
      </w:r>
      <w:r>
        <w:rPr>
          <w:rFonts w:hint="eastAsia"/>
          <w:sz w:val="21"/>
          <w:szCs w:val="21"/>
        </w:rPr>
        <w:t xml:space="preserve"> </w:t>
      </w:r>
    </w:p>
    <w:p w14:paraId="403D4CA1" w14:textId="77777777" w:rsidR="00000000" w:rsidRDefault="00A053F6">
      <w:pPr>
        <w:pStyle w:val="a3"/>
        <w:spacing w:before="156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hint="eastAsia"/>
          <w:sz w:val="21"/>
          <w:szCs w:val="21"/>
        </w:rPr>
        <w:t>、屋顶、场地铺装平面图：应体现各类铺装的类型、位置、太阳辐射反射系数及面积；</w:t>
      </w:r>
      <w:r>
        <w:rPr>
          <w:rFonts w:hint="eastAsia"/>
          <w:sz w:val="21"/>
          <w:szCs w:val="21"/>
        </w:rPr>
        <w:t xml:space="preserve"> </w:t>
      </w:r>
    </w:p>
    <w:p w14:paraId="0AB181F3" w14:textId="77777777" w:rsidR="00000000" w:rsidRDefault="00A053F6">
      <w:pPr>
        <w:pStyle w:val="a3"/>
        <w:spacing w:before="156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5</w:t>
      </w:r>
      <w:r>
        <w:rPr>
          <w:rFonts w:hint="eastAsia"/>
          <w:sz w:val="21"/>
          <w:szCs w:val="21"/>
        </w:rPr>
        <w:t>、户外活动广场遮荫面积比例计算书：应包括乔木以及构筑物遮荫面积的详细计算；如果计算中考虑了建筑日照投影遮阴，则还需包括建筑日照投影遮阴面积的计</w:t>
      </w:r>
      <w:r>
        <w:rPr>
          <w:rFonts w:hint="eastAsia"/>
          <w:sz w:val="21"/>
          <w:szCs w:val="21"/>
        </w:rPr>
        <w:t>算；</w:t>
      </w:r>
      <w:r>
        <w:rPr>
          <w:rFonts w:hint="eastAsia"/>
          <w:sz w:val="21"/>
          <w:szCs w:val="21"/>
        </w:rPr>
        <w:t xml:space="preserve"> </w:t>
      </w:r>
    </w:p>
    <w:p w14:paraId="56D3095D" w14:textId="77777777" w:rsidR="00000000" w:rsidRDefault="00A053F6">
      <w:pPr>
        <w:pStyle w:val="a3"/>
        <w:spacing w:before="156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76</w:t>
      </w:r>
      <w:r>
        <w:rPr>
          <w:rFonts w:hint="eastAsia"/>
          <w:sz w:val="21"/>
          <w:szCs w:val="21"/>
        </w:rPr>
        <w:t>、太阳辐射反射系数不低于</w:t>
      </w:r>
      <w:r>
        <w:rPr>
          <w:rFonts w:ascii="Times New Roman" w:hAnsi="Times New Roman" w:cs="Times New Roman"/>
          <w:sz w:val="21"/>
          <w:szCs w:val="21"/>
        </w:rPr>
        <w:t>0.4</w:t>
      </w:r>
      <w:r>
        <w:rPr>
          <w:rFonts w:hint="eastAsia"/>
          <w:sz w:val="21"/>
          <w:szCs w:val="21"/>
        </w:rPr>
        <w:t>的道路路面、建筑屋面面积占道路路面及建筑屋面总面积的比例计算书：应包括道路路面、建筑屋面各类铺装的类型、太阳辐射反射系数（需提供反射系数的数据来源）及面积的统计。</w:t>
      </w:r>
      <w:r>
        <w:rPr>
          <w:rFonts w:hint="eastAsia"/>
          <w:sz w:val="21"/>
          <w:szCs w:val="21"/>
        </w:rPr>
        <w:t xml:space="preserve"> </w:t>
      </w:r>
    </w:p>
    <w:p w14:paraId="791B1690" w14:textId="77777777" w:rsidR="00000000" w:rsidRDefault="00A053F6">
      <w:pPr>
        <w:pStyle w:val="a3"/>
        <w:spacing w:before="0" w:beforeAutospacing="0" w:after="0" w:afterAutospacing="0" w:line="288" w:lineRule="auto"/>
        <w:jc w:val="both"/>
        <w:divId w:val="680282136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实际提交材料：</w:t>
      </w:r>
      <w:r>
        <w:rPr>
          <w:rFonts w:hint="eastAsia"/>
          <w:sz w:val="21"/>
          <w:szCs w:val="21"/>
        </w:rPr>
        <w:t xml:space="preserve"> </w:t>
      </w:r>
    </w:p>
    <w:tbl>
      <w:tblPr>
        <w:tblW w:w="85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7"/>
      </w:tblGrid>
      <w:tr w:rsidR="00000000" w14:paraId="186700E9" w14:textId="77777777">
        <w:trPr>
          <w:divId w:val="680282136"/>
          <w:trHeight w:val="1134"/>
          <w:jc w:val="center"/>
        </w:trPr>
        <w:tc>
          <w:tcPr>
            <w:tcW w:w="8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F3D9417" w14:textId="77777777" w:rsidR="00000000" w:rsidRDefault="00A053F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景观总平面图</w:t>
            </w:r>
          </w:p>
        </w:tc>
      </w:tr>
    </w:tbl>
    <w:p w14:paraId="429ABA38" w14:textId="77777777" w:rsidR="00A053F6" w:rsidRDefault="00A053F6">
      <w:pPr>
        <w:pStyle w:val="a3"/>
        <w:spacing w:before="0" w:beforeAutospacing="0" w:after="0" w:afterAutospacing="0"/>
        <w:jc w:val="both"/>
        <w:divId w:val="680282136"/>
        <w:rPr>
          <w:rFonts w:hint="eastAsia"/>
        </w:rPr>
      </w:pPr>
      <w:r>
        <w:rPr>
          <w:rFonts w:ascii="Times New Roman" w:hAnsi="Times New Roman" w:cs="Times New Roman"/>
          <w:sz w:val="21"/>
          <w:szCs w:val="21"/>
        </w:rPr>
        <w:t> </w:t>
      </w:r>
      <w:r>
        <w:rPr>
          <w:rFonts w:hint="eastAsia"/>
        </w:rPr>
        <w:t xml:space="preserve"> </w:t>
      </w:r>
    </w:p>
    <w:sectPr w:rsidR="00A053F6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91B82" w14:textId="77777777" w:rsidR="00A053F6" w:rsidRDefault="00A053F6" w:rsidP="00262A47">
      <w:r>
        <w:separator/>
      </w:r>
    </w:p>
  </w:endnote>
  <w:endnote w:type="continuationSeparator" w:id="0">
    <w:p w14:paraId="6424FFC2" w14:textId="77777777" w:rsidR="00A053F6" w:rsidRDefault="00A053F6" w:rsidP="0026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008E" w14:textId="77777777" w:rsidR="00A053F6" w:rsidRDefault="00A053F6" w:rsidP="00262A47">
      <w:r>
        <w:separator/>
      </w:r>
    </w:p>
  </w:footnote>
  <w:footnote w:type="continuationSeparator" w:id="0">
    <w:p w14:paraId="023F9969" w14:textId="77777777" w:rsidR="00A053F6" w:rsidRDefault="00A053F6" w:rsidP="0026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47"/>
    <w:rsid w:val="00262A47"/>
    <w:rsid w:val="00A0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AB14E"/>
  <w15:chartTrackingRefBased/>
  <w15:docId w15:val="{706FA5A3-31C1-4BDF-B5B4-2976DDD1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locked/>
    <w:rPr>
      <w:rFonts w:ascii="宋体" w:eastAsia="宋体" w:hAnsi="宋体" w:cs="宋体" w:hint="eastAsia"/>
      <w:b/>
      <w:bCs/>
      <w:sz w:val="32"/>
      <w:szCs w:val="32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Pr>
      <w:rFonts w:ascii="宋体" w:eastAsia="宋体" w:hAnsi="宋体" w:cs="宋体" w:hint="eastAsia"/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Pr>
      <w:rFonts w:ascii="宋体" w:eastAsia="宋体" w:hAnsi="宋体" w:cs="宋体" w:hint="eastAsia"/>
      <w:sz w:val="18"/>
      <w:szCs w:val="18"/>
    </w:rPr>
  </w:style>
  <w:style w:type="character" w:customStyle="1" w:styleId="changecolor">
    <w:name w:val="changecolo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xie</dc:creator>
  <cp:keywords/>
  <dc:description/>
  <cp:lastModifiedBy>316770136@qq.com</cp:lastModifiedBy>
  <cp:revision>2</cp:revision>
  <dcterms:created xsi:type="dcterms:W3CDTF">2022-03-14T08:19:00Z</dcterms:created>
  <dcterms:modified xsi:type="dcterms:W3CDTF">2022-03-14T08:19:00Z</dcterms:modified>
</cp:coreProperties>
</file>