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8.2.7 改善建筑室内天然采光效果。（总分14分）</w:t>
      </w:r>
    </w:p>
    <w:p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zh-CN"/>
        </w:rPr>
        <w:t>得分自评</w:t>
      </w:r>
    </w:p>
    <w:tbl>
      <w:tblPr>
        <w:tblStyle w:val="4"/>
        <w:tblW w:w="45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6"/>
        <w:gridCol w:w="709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评价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自评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主要功能房间有合理的控制眩光措施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内区采光系数满足采光要求的面积比例达到</w:t>
            </w:r>
            <w:r>
              <w:rPr>
                <w:rFonts w:ascii="宋体" w:hAnsi="宋体"/>
                <w:szCs w:val="21"/>
              </w:rPr>
              <w:t>60%</w:t>
            </w:r>
            <w:r>
              <w:rPr>
                <w:rFonts w:hint="eastAsia" w:ascii="宋体" w:hAnsi="宋体"/>
                <w:szCs w:val="21"/>
              </w:rPr>
              <w:t>（或无内区，或住宅建筑）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hint="eastAsia" w:ascii="宋体" w:hAnsi="宋体"/>
                <w:szCs w:val="21"/>
              </w:rPr>
              <w:t>的面积达到首层地下室面积的</w:t>
            </w:r>
            <w:r>
              <w:rPr>
                <w:rFonts w:ascii="宋体" w:hAnsi="宋体"/>
                <w:szCs w:val="21"/>
              </w:rPr>
              <w:t>5%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5" w:type="pct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hint="eastAsia" w:ascii="宋体" w:hAnsi="宋体"/>
                <w:szCs w:val="21"/>
              </w:rPr>
              <w:t>的面积达到首层地下室面积的10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5" w:type="pct"/>
            <w:vMerge w:val="continue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hint="eastAsia" w:ascii="宋体" w:hAnsi="宋体"/>
                <w:szCs w:val="21"/>
              </w:rPr>
              <w:t>的面积达到首层地下室面积的1</w:t>
            </w:r>
            <w:r>
              <w:rPr>
                <w:rFonts w:ascii="宋体" w:hAnsi="宋体"/>
                <w:szCs w:val="21"/>
              </w:rPr>
              <w:t>5%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5" w:type="pct"/>
            <w:vMerge w:val="continue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地下空间平均采光系数</w:t>
            </w:r>
            <w:r>
              <w:rPr>
                <w:rFonts w:ascii="宋体" w:hAnsi="宋体"/>
                <w:szCs w:val="21"/>
              </w:rPr>
              <w:t>≥0.5%</w:t>
            </w:r>
            <w:r>
              <w:rPr>
                <w:rFonts w:hint="eastAsia" w:ascii="宋体" w:hAnsi="宋体"/>
                <w:szCs w:val="21"/>
              </w:rPr>
              <w:t>的面积达到首层地下室面积的20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（或无地下室）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5" w:type="pct"/>
            <w:vMerge w:val="continue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485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</w:tr>
    </w:tbl>
    <w:p>
      <w:pPr>
        <w:spacing w:line="288" w:lineRule="auto"/>
        <w:rPr>
          <w:rFonts w:ascii="宋体" w:hAnsi="宋体"/>
          <w:b/>
          <w:szCs w:val="21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/>
          <w:b/>
          <w:szCs w:val="21"/>
          <w:lang w:val="zh-CN"/>
        </w:rPr>
        <w:t>评价要点</w:t>
      </w:r>
    </w:p>
    <w:p>
      <w:pPr>
        <w:spacing w:line="288" w:lineRule="auto"/>
        <w:ind w:left="-424" w:firstLine="420" w:firstLineChars="20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 w:cs="宋体"/>
          <w:szCs w:val="21"/>
        </w:rPr>
        <w:t>概述改善室内防眩光采用的措施。（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hint="eastAsia" w:ascii="宋体" w:hAnsi="宋体" w:cs="宋体"/>
          <w:szCs w:val="21"/>
        </w:rPr>
        <w:t>字以内）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88" w:lineRule="auto"/>
              <w:ind w:firstLine="420" w:firstLineChars="200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首先通过自适应遮阳系统，在光照剧烈的天气减少室内光线射入。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其次，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对室内光源颜色和位置进行调整，避免眩光和直射眼睛，在日照强烈的房间，双层窗帘等来减弱光源。</w:t>
            </w:r>
          </w:p>
        </w:tc>
      </w:tr>
    </w:tbl>
    <w:p>
      <w:pPr>
        <w:pStyle w:val="9"/>
        <w:spacing w:line="288" w:lineRule="auto"/>
        <w:ind w:left="-55" w:leftChars="-52" w:hanging="54" w:hangingChars="26"/>
        <w:outlineLvl w:val="9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内区采光系数达标统计表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780"/>
        <w:gridCol w:w="1837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分析区域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主要功能空间面积（m</w:t>
            </w:r>
            <w:r>
              <w:rPr>
                <w:rFonts w:hint="eastAsia" w:ascii="宋体" w:hAnsi="宋体"/>
                <w:bCs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达标面积（m</w:t>
            </w:r>
            <w:r>
              <w:rPr>
                <w:rFonts w:hint="eastAsia" w:ascii="宋体" w:hAnsi="宋体"/>
                <w:bCs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采光达标面积比例（%）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卧室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客厅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13.6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餐厅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5.94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3.86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64.9%</w:t>
            </w:r>
          </w:p>
        </w:tc>
      </w:tr>
    </w:tbl>
    <w:p>
      <w:pPr>
        <w:pStyle w:val="9"/>
        <w:spacing w:line="288" w:lineRule="auto"/>
        <w:ind w:left="-55" w:leftChars="-52" w:hanging="54" w:hangingChars="26"/>
        <w:outlineLvl w:val="9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地下空间采光系数达标统计表</w:t>
      </w:r>
    </w:p>
    <w:p>
      <w:pPr>
        <w:pStyle w:val="9"/>
        <w:numPr>
          <w:ilvl w:val="0"/>
          <w:numId w:val="2"/>
        </w:numPr>
        <w:spacing w:line="288" w:lineRule="auto"/>
        <w:ind w:left="420" w:leftChars="0" w:hanging="420" w:firstLineChars="0"/>
        <w:outlineLvl w:val="9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无地下室面积</w:t>
      </w:r>
      <w:bookmarkStart w:id="0" w:name="_GoBack"/>
      <w:bookmarkEnd w:id="0"/>
    </w:p>
    <w:p>
      <w:pPr>
        <w:pStyle w:val="8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/>
          <w:b/>
          <w:szCs w:val="21"/>
          <w:lang w:val="zh-CN"/>
        </w:rPr>
        <w:t>证明材料</w:t>
      </w:r>
    </w:p>
    <w:p>
      <w:pPr>
        <w:pStyle w:val="9"/>
        <w:spacing w:line="288" w:lineRule="auto"/>
        <w:ind w:left="-424" w:leftChars="-202" w:firstLine="422" w:firstLineChars="200"/>
        <w:outlineLvl w:val="9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建议提交材料及要求：</w:t>
      </w:r>
    </w:p>
    <w:p>
      <w:pPr>
        <w:widowControl/>
        <w:spacing w:line="288" w:lineRule="auto"/>
        <w:rPr>
          <w:rFonts w:cs="宋体"/>
          <w:bCs/>
        </w:rPr>
      </w:pPr>
      <w:r>
        <w:rPr>
          <w:rFonts w:hint="eastAsia" w:cs="宋体"/>
          <w:bCs/>
        </w:rPr>
        <w:t>1、建筑设计图纸和设计说明：应体现室内防眩光设计措施，建筑平面图中门窗等自然采光开口、功能空间的设置等采取防眩光措施；</w:t>
      </w:r>
    </w:p>
    <w:p>
      <w:pPr>
        <w:widowControl/>
        <w:spacing w:line="288" w:lineRule="auto"/>
        <w:rPr>
          <w:rFonts w:cs="宋体"/>
          <w:bCs/>
        </w:rPr>
      </w:pPr>
      <w:r>
        <w:rPr>
          <w:rFonts w:hint="eastAsia" w:cs="宋体"/>
          <w:bCs/>
        </w:rPr>
        <w:t>2、自然采光模拟分析报告：应包括眩光计算、采光系数计算及满足标准要求的面积比例统计等内容。</w:t>
      </w:r>
    </w:p>
    <w:p>
      <w:pPr>
        <w:pStyle w:val="9"/>
        <w:tabs>
          <w:tab w:val="left" w:pos="0"/>
        </w:tabs>
        <w:spacing w:line="288" w:lineRule="auto"/>
        <w:ind w:leftChars="-2" w:hanging="4" w:hangingChars="2"/>
        <w:outlineLvl w:val="9"/>
        <w:rPr>
          <w:rFonts w:ascii="宋体" w:hAnsi="宋体"/>
          <w:b/>
          <w:sz w:val="21"/>
          <w:szCs w:val="21"/>
        </w:rPr>
      </w:pPr>
    </w:p>
    <w:p>
      <w:pPr>
        <w:pStyle w:val="9"/>
        <w:tabs>
          <w:tab w:val="left" w:pos="0"/>
        </w:tabs>
        <w:spacing w:line="288" w:lineRule="auto"/>
        <w:ind w:leftChars="-2" w:hanging="4" w:hangingChars="2"/>
        <w:outlineLvl w:val="9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实际提交材料：</w:t>
      </w:r>
    </w:p>
    <w:tbl>
      <w:tblPr>
        <w:tblStyle w:val="4"/>
        <w:tblW w:w="8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425" w:type="dxa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4A26D"/>
    <w:multiLevelType w:val="singleLevel"/>
    <w:tmpl w:val="9DA4A2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0D91109"/>
    <w:multiLevelType w:val="multilevel"/>
    <w:tmpl w:val="10D91109"/>
    <w:lvl w:ilvl="0" w:tentative="0">
      <w:start w:val="1"/>
      <w:numFmt w:val="decimal"/>
      <w:lvlText w:val="%1)"/>
      <w:lvlJc w:val="left"/>
      <w:pPr>
        <w:ind w:left="416" w:hanging="420"/>
      </w:p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26C0"/>
    <w:rsid w:val="008126C0"/>
    <w:rsid w:val="037E4592"/>
    <w:rsid w:val="059C365A"/>
    <w:rsid w:val="61580617"/>
    <w:rsid w:val="70E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7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basedOn w:val="6"/>
    <w:link w:val="3"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条文"/>
    <w:basedOn w:val="1"/>
    <w:link w:val="10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0">
    <w:name w:val="条文 Char"/>
    <w:link w:val="9"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2016-03-22T03:19:00Z</dcterms:created>
  <dc:creator>f</dc:creator>
  <cp:lastModifiedBy>Yan</cp:lastModifiedBy>
  <dcterms:modified xsi:type="dcterms:W3CDTF">2022-03-14T08:43:02Z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