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水之灵-科创中心绿色建筑设计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t>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0" w:name="设计编号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中国农业大学水利与土木工程学院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中国农业大学水利与土木工程学院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1" w:name="报告日期"/>
            <w:bookmarkEnd w:id="1"/>
            <w:r>
              <w:rPr>
                <w:rFonts w:hint="eastAsia" w:ascii="宋体" w:hAnsi="宋体"/>
                <w:szCs w:val="21"/>
              </w:rPr>
              <w:t>2021年12月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2" w:name="二维码"/>
      <w:bookmarkEnd w:id="2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3" w:name="软件全称"/>
            <w:r>
              <w:rPr>
                <w:rFonts w:hint="eastAsia" w:ascii="宋体" w:hAnsi="宋体"/>
              </w:rPr>
              <w:t>住区热环境TERA2020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4" w:name="软件版本"/>
            <w:r>
              <w:t>20200505(SP1)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5" w:name="加密锁号"/>
            <w:r>
              <w:t>T18928071805</w:t>
            </w:r>
            <w:bookmarkEnd w:id="5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6" w:name="目录"/>
      <w:bookmarkEnd w:id="6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"_Toc16494766"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_Toc16494766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"_Toc16494767"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_Toc16494767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"_Toc16494768"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_Toc16494768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"_Toc16494769"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_Toc16494769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"_Toc16494770"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_Toc16494770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"_Toc16494771" </w:instrText>
      </w:r>
      <w:r>
        <w:fldChar w:fldCharType="separate"/>
      </w:r>
      <w:r>
        <w:rPr>
          <w:rStyle w:val="25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begin"/>
      </w:r>
      <w:r>
        <w:instrText xml:space="preserve"> PAGEREF _Toc16494771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_Toc16494772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_Toc16494773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_Toc16494774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_Toc16494775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_Toc16494776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_Toc16494777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_Toc16494778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"_Toc16494779" </w:instrText>
      </w:r>
      <w:r>
        <w:fldChar w:fldCharType="separate"/>
      </w:r>
      <w:r>
        <w:rPr>
          <w:rStyle w:val="25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_Toc16494779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"_Toc16494780" </w:instrText>
      </w:r>
      <w:r>
        <w:fldChar w:fldCharType="separate"/>
      </w:r>
      <w:r>
        <w:rPr>
          <w:rStyle w:val="25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_Toc16494780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"_Toc16494781" </w:instrText>
      </w:r>
      <w:r>
        <w:fldChar w:fldCharType="separate"/>
      </w:r>
      <w:r>
        <w:rPr>
          <w:rStyle w:val="25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_Toc16494781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"_Toc16494782" </w:instrText>
      </w:r>
      <w:r>
        <w:fldChar w:fldCharType="separate"/>
      </w:r>
      <w:r>
        <w:rPr>
          <w:rStyle w:val="25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_Toc16494782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"_Toc16494783"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begin"/>
      </w:r>
      <w:r>
        <w:instrText xml:space="preserve"> PAGEREF _Toc16494783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"_Toc16494784"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平均热岛强度</w:t>
      </w:r>
      <w:r>
        <w:tab/>
      </w:r>
      <w:r>
        <w:fldChar w:fldCharType="begin"/>
      </w:r>
      <w:r>
        <w:instrText xml:space="preserve"> PAGEREF _Toc16494784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"_Toc16494785"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湿球黑球温度</w:t>
      </w:r>
      <w:r>
        <w:tab/>
      </w:r>
      <w:r>
        <w:fldChar w:fldCharType="begin"/>
      </w:r>
      <w:r>
        <w:instrText xml:space="preserve"> PAGEREF _Toc16494785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"_Toc16494786"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结论</w:t>
      </w:r>
      <w:r>
        <w:tab/>
      </w:r>
      <w:r>
        <w:fldChar w:fldCharType="begin"/>
      </w:r>
      <w:r>
        <w:instrText xml:space="preserve"> PAGEREF _Toc16494786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7" w:name="_Toc16494766"/>
      <w:r>
        <w:rPr>
          <w:rFonts w:hint="eastAsia"/>
        </w:rPr>
        <w:t>住区概况</w:t>
      </w:r>
      <w:bookmarkEnd w:id="7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8" w:name="工程名称1"/>
            <w:r>
              <w:rPr>
                <w:rFonts w:hint="eastAsia" w:ascii="宋体" w:hAnsi="宋体"/>
              </w:rPr>
              <w:t>水之灵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9" w:name="工程地点"/>
            <w:r>
              <w:t>北京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0" w:name="纬度"/>
            <w:r>
              <w:t>39.95</w:t>
            </w:r>
            <w:bookmarkEnd w:id="10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1" w:name="经度"/>
            <w:r>
              <w:t>116.35</w:t>
            </w:r>
            <w:bookmarkEnd w:id="11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气候区"/>
            <w:r>
              <w:t>IIA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主导风向"/>
            <w:r>
              <w:t>南</w:t>
            </w:r>
            <w:bookmarkEnd w:id="13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4" w:name="总图鸟瞰图"/>
      <w:bookmarkEnd w:id="14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5" w:name="OLE_LINK3"/>
      <w:bookmarkStart w:id="16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5"/>
      <w:bookmarkEnd w:id="16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7" w:name="总图平面图"/>
      <w:bookmarkEnd w:id="17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18" w:name="_Toc16494767"/>
      <w:bookmarkStart w:id="19" w:name="TitleFormat"/>
      <w:r>
        <w:rPr>
          <w:rFonts w:hint="eastAsia"/>
        </w:rPr>
        <w:t>设计依据</w:t>
      </w:r>
      <w:bookmarkEnd w:id="18"/>
    </w:p>
    <w:bookmarkEnd w:id="19"/>
    <w:p>
      <w:pPr>
        <w:widowControl w:val="0"/>
        <w:jc w:val="both"/>
        <w:rPr>
          <w:kern w:val="2"/>
          <w:szCs w:val="24"/>
          <w:lang w:val="en-US"/>
        </w:rPr>
      </w:pPr>
      <w:bookmarkStart w:id="20" w:name="计算依据"/>
      <w:bookmarkEnd w:id="20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>
      <w:pPr>
        <w:pStyle w:val="2"/>
      </w:pPr>
      <w:bookmarkStart w:id="21" w:name="_Toc16494768"/>
      <w:r>
        <w:rPr>
          <w:rFonts w:hint="eastAsia"/>
        </w:rPr>
        <w:t>计算规定</w:t>
      </w:r>
      <w:bookmarkEnd w:id="21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2" w:name="_Toc16494769"/>
      <w:r>
        <w:rPr>
          <w:rFonts w:hint="eastAsia"/>
        </w:rPr>
        <w:t>强制条文</w:t>
      </w:r>
      <w:bookmarkEnd w:id="22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3" w:name="_Toc16494770"/>
      <w:r>
        <w:rPr>
          <w:rFonts w:hint="eastAsia"/>
        </w:rPr>
        <w:t>规定性设计</w:t>
      </w:r>
      <w:bookmarkEnd w:id="23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4" w:name="_Toc16494772"/>
      <w:r>
        <w:rPr>
          <w:rFonts w:hint="eastAsia"/>
        </w:rPr>
        <w:t>计算参数</w:t>
      </w:r>
      <w:bookmarkEnd w:id="24"/>
    </w:p>
    <w:p>
      <w:pPr>
        <w:pStyle w:val="4"/>
      </w:pPr>
      <w:bookmarkStart w:id="25" w:name="_Toc16494773"/>
      <w:r>
        <w:rPr>
          <w:rFonts w:hint="eastAsia"/>
        </w:rPr>
        <w:t>典型气象日气象参数</w:t>
      </w:r>
      <w:bookmarkEnd w:id="2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359.90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495.60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253.70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129.80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6" w:name="气象参数"/>
      <w:bookmarkEnd w:id="26"/>
    </w:p>
    <w:p>
      <w:pPr>
        <w:pStyle w:val="4"/>
      </w:pPr>
      <w:bookmarkStart w:id="27" w:name="_Toc16494774"/>
      <w:r>
        <w:rPr>
          <w:rFonts w:hint="eastAsia"/>
        </w:rPr>
        <w:t>渗透面夏季逐时蒸发量</w:t>
      </w:r>
      <w:bookmarkEnd w:id="2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8" w:name="蒸发量参数"/>
      <w:bookmarkEnd w:id="28"/>
    </w:p>
    <w:p>
      <w:pPr>
        <w:pStyle w:val="2"/>
      </w:pPr>
      <w:bookmarkStart w:id="29" w:name="_Toc16494775"/>
      <w:r>
        <w:rPr>
          <w:rFonts w:hint="eastAsia"/>
        </w:rPr>
        <w:t>住区指标概览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111023.91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85156.63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902.22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17023.22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27851.73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2434.03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1873.17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8.66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住区指标概览"/>
      <w:bookmarkEnd w:id="30"/>
    </w:p>
    <w:p>
      <w:pPr>
        <w:pStyle w:val="2"/>
      </w:pPr>
      <w:bookmarkStart w:id="31" w:name="_Toc16494776"/>
      <w:r>
        <w:rPr>
          <w:rFonts w:hint="eastAsia"/>
        </w:rPr>
        <w:t>规定性设计指标</w:t>
      </w:r>
      <w:bookmarkEnd w:id="31"/>
    </w:p>
    <w:p>
      <w:pPr>
        <w:pStyle w:val="4"/>
      </w:pPr>
      <w:bookmarkStart w:id="32" w:name="_Toc16494777"/>
      <w:r>
        <w:rPr>
          <w:rFonts w:hint="eastAsia"/>
        </w:rPr>
        <w:t>平均迎风面积比</w:t>
      </w:r>
      <w:bookmarkEnd w:id="3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平均迎风面积比"/>
      <w:bookmarkEnd w:id="33"/>
    </w:p>
    <w:p>
      <w:pPr>
        <w:pStyle w:val="4"/>
      </w:pPr>
      <w:bookmarkStart w:id="34" w:name="_Toc16494778"/>
      <w:r>
        <w:rPr>
          <w:rFonts w:hint="eastAsia"/>
        </w:rPr>
        <w:t>活动场地遮阳覆盖率</w:t>
      </w:r>
      <w:bookmarkEnd w:id="3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2721.1</w:t>
            </w:r>
          </w:p>
        </w:tc>
        <w:tc>
          <w:tcPr>
            <w:vAlign w:val="center"/>
          </w:tcPr>
          <w:p>
            <w:r>
              <w:t>5464.1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940.1</w:t>
            </w:r>
          </w:p>
        </w:tc>
        <w:tc>
          <w:tcPr>
            <w:vAlign w:val="center"/>
          </w:tcPr>
          <w:p>
            <w:r>
              <w:t>3326.9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1264.3</w:t>
            </w:r>
          </w:p>
        </w:tc>
        <w:tc>
          <w:tcPr>
            <w:vAlign w:val="center"/>
          </w:tcPr>
          <w:p>
            <w:r>
              <w:t>3050.0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607.6</w:t>
            </w:r>
          </w:p>
        </w:tc>
        <w:tc>
          <w:tcPr>
            <w:vAlign w:val="center"/>
          </w:tcPr>
          <w:p>
            <w:r>
              <w:t>2175.4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5" w:name="活动场地遮阳覆盖率"/>
      <w:bookmarkEnd w:id="35"/>
    </w:p>
    <w:p>
      <w:pPr>
        <w:pStyle w:val="4"/>
      </w:pPr>
      <w:bookmarkStart w:id="36" w:name="_Toc16494779"/>
      <w:r>
        <w:rPr>
          <w:rFonts w:hint="eastAsia"/>
        </w:rPr>
        <w:t>底层通风架空率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25897.0</w:t>
            </w:r>
          </w:p>
        </w:tc>
        <w:tc>
          <w:tcPr>
            <w:vAlign w:val="center"/>
          </w:tcPr>
          <w:p>
            <w:r>
              <w:t>284.4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底层通风架空率"/>
      <w:bookmarkEnd w:id="37"/>
    </w:p>
    <w:p>
      <w:pPr>
        <w:pStyle w:val="4"/>
      </w:pPr>
      <w:bookmarkStart w:id="38" w:name="_Toc16494780"/>
      <w:r>
        <w:rPr>
          <w:rFonts w:hint="eastAsia"/>
        </w:rPr>
        <w:t>绿化遮阳体叶面积指数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3034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3568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绿化遮阳体叶面积指数"/>
      <w:bookmarkEnd w:id="39"/>
    </w:p>
    <w:p>
      <w:pPr>
        <w:pStyle w:val="4"/>
      </w:pPr>
      <w:bookmarkStart w:id="40" w:name="_Toc16494781"/>
      <w:r>
        <w:rPr>
          <w:rFonts w:hint="eastAsia"/>
        </w:rPr>
        <w:t>渗透蒸发指标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5464</w:t>
            </w:r>
          </w:p>
        </w:tc>
        <w:tc>
          <w:tcPr>
            <w:vAlign w:val="center"/>
          </w:tcPr>
          <w:p>
            <w:r>
              <w:t>0.390</w:t>
            </w:r>
          </w:p>
        </w:tc>
        <w:tc>
          <w:tcPr>
            <w:vAlign w:val="center"/>
          </w:tcPr>
          <w:p>
            <w:r>
              <w:t>3.83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3327</w:t>
            </w:r>
          </w:p>
        </w:tc>
        <w:tc>
          <w:tcPr>
            <w:vAlign w:val="center"/>
          </w:tcPr>
          <w:p>
            <w:r>
              <w:t>0.237</w:t>
            </w:r>
          </w:p>
        </w:tc>
        <w:tc>
          <w:tcPr>
            <w:vAlign w:val="center"/>
          </w:tcPr>
          <w:p>
            <w:r>
              <w:t>3.35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3050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>
            <w:r>
              <w:t>3.16</w:t>
            </w:r>
          </w:p>
        </w:tc>
        <w:tc>
          <w:tcPr>
            <w:vAlign w:val="center"/>
          </w:tcPr>
          <w:p>
            <w:r>
              <w:t>1.52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2175</w:t>
            </w:r>
          </w:p>
        </w:tc>
        <w:tc>
          <w:tcPr>
            <w:vAlign w:val="center"/>
          </w:tcPr>
          <w:p>
            <w:r>
              <w:t>0.155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14016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3.44</w:t>
            </w:r>
          </w:p>
        </w:tc>
        <w:tc>
          <w:tcPr>
            <w:vAlign w:val="center"/>
          </w:tcPr>
          <w:p>
            <w:r>
              <w:t>1.65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渗透蒸发指标"/>
      <w:bookmarkEnd w:id="4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3.44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1.65</w:t>
            </w:r>
          </w:p>
        </w:tc>
        <w:tc>
          <w:tcPr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2" w:name="_Toc16494782"/>
      <w:r>
        <w:rPr>
          <w:rFonts w:hint="eastAsia"/>
        </w:rPr>
        <w:t>屋面绿化率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25897.0</w:t>
            </w:r>
          </w:p>
        </w:tc>
        <w:tc>
          <w:tcPr>
            <w:vAlign w:val="center"/>
          </w:tcPr>
          <w:p>
            <w:r>
              <w:t>24961.4</w:t>
            </w:r>
          </w:p>
        </w:tc>
        <w:tc>
          <w:tcPr>
            <w:vAlign w:val="center"/>
          </w:tcPr>
          <w:p>
            <w:r>
              <w:t>25897.0</w:t>
            </w:r>
          </w:p>
        </w:tc>
        <w:tc>
          <w:tcPr>
            <w:vAlign w:val="center"/>
          </w:tcPr>
          <w:p>
            <w:r>
              <w:t>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25897.0</w:t>
            </w:r>
          </w:p>
        </w:tc>
        <w:tc>
          <w:tcPr>
            <w:vAlign w:val="center"/>
          </w:tcPr>
          <w:p>
            <w:r>
              <w:t>24961.4</w:t>
            </w:r>
          </w:p>
        </w:tc>
        <w:tc>
          <w:tcPr>
            <w:vAlign w:val="center"/>
          </w:tcPr>
          <w:p>
            <w:r>
              <w:t>25897.0</w:t>
            </w:r>
          </w:p>
        </w:tc>
        <w:tc>
          <w:tcPr>
            <w:vAlign w:val="center"/>
          </w:tcPr>
          <w:p>
            <w:r>
              <w:t>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屋面绿化率"/>
      <w:bookmarkEnd w:id="43"/>
    </w:p>
    <w:p>
      <w:pPr>
        <w:pStyle w:val="2"/>
      </w:pPr>
      <w:bookmarkStart w:id="44" w:name="_Toc16494786"/>
      <w:r>
        <w:rPr>
          <w:rFonts w:hint="eastAsia"/>
        </w:rPr>
        <w:t>结论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5" w:name="结论"/>
            <w:bookmarkEnd w:id="45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6" w:name="平均迎风面积比结论"/>
            <w:r>
              <w:rPr>
                <w:rFonts w:hint="eastAsia"/>
                <w:b/>
              </w:rPr>
              <w:t>满足</w:t>
            </w:r>
            <w:bookmarkEnd w:id="46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7" w:name="活动场地遮阳覆盖率结论"/>
            <w:r>
              <w:rPr>
                <w:rFonts w:hint="eastAsia"/>
                <w:b/>
              </w:rPr>
              <w:t>满足</w:t>
            </w:r>
            <w:bookmarkEnd w:id="47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bookmarkStart w:id="53" w:name="_GoBack" w:colFirst="0" w:colLast="0"/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48" w:name="底层通风架空率结论"/>
            <w:r>
              <w:rPr>
                <w:color w:val="FF0000"/>
              </w:rPr>
              <w:t>不满足</w:t>
            </w:r>
            <w:bookmarkEnd w:id="48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bookmarkEnd w:id="53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49" w:name="绿化遮阳体叶面积指数结论"/>
            <w:r>
              <w:t>满足</w:t>
            </w:r>
            <w:bookmarkEnd w:id="49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0" w:name="渗透蒸发指标结论"/>
            <w:r>
              <w:t>满足</w:t>
            </w:r>
            <w:bookmarkEnd w:id="50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1" w:name="屋面绿化率结论"/>
            <w: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rFonts w:hint="eastAsia"/>
                <w:b/>
              </w:rPr>
            </w:pPr>
            <w:bookmarkStart w:id="52" w:name="总结论"/>
            <w:r>
              <w:rPr>
                <w:rFonts w:hint="eastAsia"/>
                <w:b/>
              </w:rPr>
              <w:t>满足</w:t>
            </w:r>
            <w:bookmarkEnd w:id="52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5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FE6BEB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  <w:rsid w:val="3C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016;&#38738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10</Pages>
  <Words>2277</Words>
  <Characters>3610</Characters>
  <Lines>20</Lines>
  <Paragraphs>5</Paragraphs>
  <TotalTime>1</TotalTime>
  <ScaleCrop>false</ScaleCrop>
  <LinksUpToDate>false</LinksUpToDate>
  <CharactersWithSpaces>3667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2021-12-27T00:53:00Z</dcterms:created>
  <dc:creator>Qing</dc:creator>
  <cp:lastModifiedBy>Qing</cp:lastModifiedBy>
  <dcterms:modified xsi:type="dcterms:W3CDTF">2021-12-27T00:56:33Z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C7BCF1417FC14EF68DB693DBCC0B300F</vt:lpwstr>
  </property>
  <property fmtid="{D5CDD505-2E9C-101B-9397-08002B2CF9AE}" pid="3" name="KSOProductBuildVer">
    <vt:lpwstr>2052-11.1.0.11194</vt:lpwstr>
  </property>
</Properties>
</file>