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r>
              <w:rPr>
                <w:rFonts w:hint="eastAsia" w:ascii="宋体" w:hAnsi="宋体"/>
                <w:szCs w:val="21"/>
              </w:rPr>
              <w:t>河南省焦作市姜河旧巷改造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r>
              <w:rPr>
                <w:rFonts w:hint="eastAsia" w:ascii="宋体" w:hAnsi="宋体"/>
                <w:szCs w:val="21"/>
              </w:rPr>
              <w:t>xxxx有限公司</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r>
              <w:rPr>
                <w:rFonts w:hint="eastAsia" w:ascii="宋体" w:hAnsi="宋体"/>
                <w:szCs w:val="21"/>
              </w:rPr>
              <w:t>xxxx建筑设计有限公司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bookmarkEnd w:id="4"/>
          </w:p>
        </w:tc>
      </w:tr>
    </w:tbl>
    <w:p>
      <w:pPr>
        <w:rPr>
          <w:rFonts w:ascii="宋体" w:hAnsi="宋体"/>
          <w:lang w:val="en-US"/>
        </w:rPr>
      </w:pPr>
    </w:p>
    <w:p>
      <w:pPr>
        <w:jc w:val="center"/>
        <w:rPr>
          <w:rFonts w:ascii="宋体" w:hAnsi="宋体"/>
          <w:lang w:val="en-US"/>
        </w:rPr>
      </w:pPr>
      <w:bookmarkStart w:id="5"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5"/>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建筑声环境SEDU2020</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7" w:name="软件版本"/>
            <w:r>
              <w:rPr>
                <w:rFonts w:hint="eastAsia" w:ascii="宋体" w:hAnsi="宋体"/>
                <w:szCs w:val="18"/>
              </w:rPr>
              <w:t>20190808</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8" w:name="加密锁号"/>
            <w:r>
              <w:rPr>
                <w:rFonts w:hint="eastAsia" w:ascii="宋体" w:hAnsi="宋体"/>
                <w:szCs w:val="18"/>
              </w:rPr>
              <w:t>T15993336651</w:t>
            </w:r>
            <w:bookmarkEnd w:id="8"/>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_Toc17069 </w:instrText>
      </w:r>
      <w:r>
        <w:rPr>
          <w:rFonts w:ascii="宋体" w:hAnsi="宋体"/>
          <w:caps/>
        </w:rPr>
        <w:fldChar w:fldCharType="separate"/>
      </w:r>
      <w:r>
        <w:rPr>
          <w:rFonts w:hint="eastAsia"/>
        </w:rPr>
        <w:t>1 建筑概况</w:t>
      </w:r>
      <w:r>
        <w:tab/>
      </w:r>
      <w:r>
        <w:fldChar w:fldCharType="begin"/>
      </w:r>
      <w:r>
        <w:instrText xml:space="preserve"> PAGEREF _Toc17069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_Toc1282 </w:instrText>
      </w:r>
      <w:r>
        <w:fldChar w:fldCharType="separate"/>
      </w:r>
      <w:r>
        <w:rPr>
          <w:rFonts w:hint="eastAsia"/>
        </w:rPr>
        <w:t>2 标准依据</w:t>
      </w:r>
      <w:r>
        <w:tab/>
      </w:r>
      <w:r>
        <w:fldChar w:fldCharType="begin"/>
      </w:r>
      <w:r>
        <w:instrText xml:space="preserve"> PAGEREF _Toc1282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_Toc3180 </w:instrText>
      </w:r>
      <w:r>
        <w:fldChar w:fldCharType="separate"/>
      </w:r>
      <w:r>
        <w:rPr>
          <w:rFonts w:hint="eastAsia"/>
        </w:rPr>
        <w:t>3 评价</w:t>
      </w:r>
      <w:r>
        <w:t>要求</w:t>
      </w:r>
      <w:r>
        <w:tab/>
      </w:r>
      <w:r>
        <w:fldChar w:fldCharType="begin"/>
      </w:r>
      <w:r>
        <w:instrText xml:space="preserve"> PAGEREF _Toc3180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_Toc26402 </w:instrText>
      </w:r>
      <w:r>
        <w:fldChar w:fldCharType="separate"/>
      </w:r>
      <w:r>
        <w:rPr>
          <w:rFonts w:hint="eastAsia"/>
          <w:kern w:val="2"/>
        </w:rPr>
        <w:t>4 隔声理论概述</w:t>
      </w:r>
      <w:r>
        <w:tab/>
      </w:r>
      <w:r>
        <w:fldChar w:fldCharType="begin"/>
      </w:r>
      <w:r>
        <w:instrText xml:space="preserve"> PAGEREF _Toc26402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_Toc12180 </w:instrText>
      </w:r>
      <w:r>
        <w:fldChar w:fldCharType="separate"/>
      </w:r>
      <w:r>
        <w:rPr>
          <w:rFonts w:hint="eastAsia"/>
          <w:lang w:val="en-GB"/>
        </w:rPr>
        <w:t xml:space="preserve">4.1 </w:t>
      </w:r>
      <w:r>
        <w:t>空气声</w:t>
      </w:r>
      <w:r>
        <w:rPr>
          <w:rFonts w:hint="eastAsia"/>
        </w:rPr>
        <w:t>隔声</w:t>
      </w:r>
      <w:r>
        <w:tab/>
      </w:r>
      <w:r>
        <w:fldChar w:fldCharType="begin"/>
      </w:r>
      <w:r>
        <w:instrText xml:space="preserve"> PAGEREF _Toc12180 \h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_Toc2610 </w:instrText>
      </w:r>
      <w:r>
        <w:fldChar w:fldCharType="separate"/>
      </w:r>
      <w:r>
        <w:rPr>
          <w:rFonts w:hint="eastAsia" w:eastAsia="宋体"/>
          <w:szCs w:val="24"/>
          <w:lang w:val="en-GB"/>
        </w:rPr>
        <w:t xml:space="preserve">4.1.1 </w:t>
      </w:r>
      <w:r>
        <w:rPr>
          <w:rFonts w:hint="eastAsia"/>
        </w:rPr>
        <w:t>质量定律</w:t>
      </w:r>
      <w:r>
        <w:tab/>
      </w:r>
      <w:r>
        <w:fldChar w:fldCharType="begin"/>
      </w:r>
      <w:r>
        <w:instrText xml:space="preserve"> PAGEREF _Toc2610 \h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_Toc25960 </w:instrText>
      </w:r>
      <w:r>
        <w:fldChar w:fldCharType="separate"/>
      </w:r>
      <w:r>
        <w:rPr>
          <w:rFonts w:hint="eastAsia" w:eastAsia="宋体"/>
          <w:szCs w:val="24"/>
          <w:lang w:val="en-GB"/>
        </w:rPr>
        <w:t xml:space="preserve">4.1.2 </w:t>
      </w:r>
      <w:r>
        <w:rPr>
          <w:rFonts w:hint="eastAsia"/>
        </w:rPr>
        <w:t>单层匀</w:t>
      </w:r>
      <w:r>
        <w:t>质</w:t>
      </w:r>
      <w:r>
        <w:rPr>
          <w:rFonts w:hint="eastAsia"/>
        </w:rPr>
        <w:t>密实墙体</w:t>
      </w:r>
      <w:r>
        <w:t>的空气声</w:t>
      </w:r>
      <w:r>
        <w:rPr>
          <w:rFonts w:hint="eastAsia"/>
        </w:rPr>
        <w:t>隔声</w:t>
      </w:r>
      <w:r>
        <w:tab/>
      </w:r>
      <w:r>
        <w:fldChar w:fldCharType="begin"/>
      </w:r>
      <w:r>
        <w:instrText xml:space="preserve"> PAGEREF _Toc25960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_Toc15813 </w:instrText>
      </w:r>
      <w:r>
        <w:fldChar w:fldCharType="separate"/>
      </w:r>
      <w:r>
        <w:rPr>
          <w:rFonts w:hint="eastAsia" w:eastAsia="宋体"/>
          <w:szCs w:val="24"/>
          <w:lang w:val="en-GB"/>
        </w:rPr>
        <w:t xml:space="preserve">4.1.3 </w:t>
      </w:r>
      <w:r>
        <w:rPr>
          <w:rFonts w:hint="eastAsia"/>
        </w:rPr>
        <w:t>多层复合板的隔声性能</w:t>
      </w:r>
      <w:r>
        <w:tab/>
      </w:r>
      <w:r>
        <w:fldChar w:fldCharType="begin"/>
      </w:r>
      <w:r>
        <w:instrText xml:space="preserve"> PAGEREF _Toc15813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_Toc13607 </w:instrText>
      </w:r>
      <w:r>
        <w:fldChar w:fldCharType="separate"/>
      </w:r>
      <w:r>
        <w:rPr>
          <w:rFonts w:hint="eastAsia"/>
          <w:lang w:val="en-GB"/>
        </w:rPr>
        <w:t xml:space="preserve">4.2 </w:t>
      </w:r>
      <w:r>
        <w:rPr>
          <w:rFonts w:hint="eastAsia"/>
        </w:rPr>
        <w:t>撞击声隔声</w:t>
      </w:r>
      <w:r>
        <w:tab/>
      </w:r>
      <w:r>
        <w:fldChar w:fldCharType="begin"/>
      </w:r>
      <w:r>
        <w:instrText xml:space="preserve"> PAGEREF _Toc13607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_Toc21060 </w:instrText>
      </w:r>
      <w:r>
        <w:fldChar w:fldCharType="separate"/>
      </w:r>
      <w:r>
        <w:rPr>
          <w:rFonts w:hint="eastAsia"/>
        </w:rPr>
        <w:t>5 构件空气声隔声量计算过程</w:t>
      </w:r>
      <w:r>
        <w:tab/>
      </w:r>
      <w:r>
        <w:fldChar w:fldCharType="begin"/>
      </w:r>
      <w:r>
        <w:instrText xml:space="preserve"> PAGEREF _Toc21060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_Toc8977 </w:instrText>
      </w:r>
      <w:r>
        <w:fldChar w:fldCharType="separate"/>
      </w:r>
      <w:r>
        <w:rPr>
          <w:rFonts w:hint="eastAsia"/>
          <w:lang w:val="en-GB"/>
        </w:rPr>
        <w:t xml:space="preserve">5.1 </w:t>
      </w:r>
      <w:r>
        <w:rPr>
          <w:rFonts w:hint="eastAsia"/>
        </w:rPr>
        <w:t>计算条件</w:t>
      </w:r>
      <w:r>
        <w:tab/>
      </w:r>
      <w:r>
        <w:fldChar w:fldCharType="begin"/>
      </w:r>
      <w:r>
        <w:instrText xml:space="preserve"> PAGEREF _Toc8977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_Toc25196 </w:instrText>
      </w:r>
      <w:r>
        <w:fldChar w:fldCharType="separate"/>
      </w:r>
      <w:r>
        <w:rPr>
          <w:rFonts w:hint="eastAsia"/>
          <w:lang w:val="en-GB"/>
        </w:rPr>
        <w:t xml:space="preserve">5.2 </w:t>
      </w:r>
      <w:r>
        <w:rPr>
          <w:rFonts w:hint="eastAsia"/>
        </w:rPr>
        <w:t>构件在倍频程下的空气声隔声量</w:t>
      </w:r>
      <w:r>
        <w:tab/>
      </w:r>
      <w:r>
        <w:fldChar w:fldCharType="begin"/>
      </w:r>
      <w:r>
        <w:instrText xml:space="preserve"> PAGEREF _Toc25196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_Toc20615 </w:instrText>
      </w:r>
      <w:r>
        <w:fldChar w:fldCharType="separate"/>
      </w:r>
      <w:r>
        <w:rPr>
          <w:rFonts w:hint="eastAsia" w:eastAsia="宋体"/>
          <w:szCs w:val="24"/>
          <w:lang w:val="en-GB"/>
        </w:rPr>
        <w:t xml:space="preserve">5.2.1 </w:t>
      </w:r>
      <w:r>
        <w:rPr>
          <w:rFonts w:hint="eastAsia"/>
        </w:rPr>
        <w:t>墙板各频程下空气声隔声量</w:t>
      </w:r>
      <w:r>
        <w:tab/>
      </w:r>
      <w:r>
        <w:fldChar w:fldCharType="begin"/>
      </w:r>
      <w:r>
        <w:instrText xml:space="preserve"> PAGEREF _Toc20615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_Toc32101 </w:instrText>
      </w:r>
      <w:r>
        <w:fldChar w:fldCharType="separate"/>
      </w:r>
      <w:r>
        <w:rPr>
          <w:rFonts w:hint="eastAsia" w:eastAsia="宋体"/>
          <w:szCs w:val="24"/>
          <w:lang w:val="en-GB"/>
        </w:rPr>
        <w:t xml:space="preserve">5.2.2 </w:t>
      </w:r>
      <w:r>
        <w:rPr>
          <w:rFonts w:hint="eastAsia"/>
        </w:rPr>
        <w:t>门窗各频程下空气声隔声量</w:t>
      </w:r>
      <w:r>
        <w:tab/>
      </w:r>
      <w:r>
        <w:fldChar w:fldCharType="begin"/>
      </w:r>
      <w:r>
        <w:instrText xml:space="preserve"> PAGEREF _Toc32101 \h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_Toc24110 </w:instrText>
      </w:r>
      <w:r>
        <w:fldChar w:fldCharType="separate"/>
      </w:r>
      <w:r>
        <w:rPr>
          <w:rFonts w:hint="eastAsia"/>
          <w:lang w:val="en-GB"/>
        </w:rPr>
        <w:t xml:space="preserve">5.3 </w:t>
      </w:r>
      <w:r>
        <w:rPr>
          <w:rFonts w:hint="eastAsia"/>
        </w:rPr>
        <w:t>构件计权隔声量</w:t>
      </w:r>
      <w:r>
        <w:tab/>
      </w:r>
      <w:r>
        <w:fldChar w:fldCharType="begin"/>
      </w:r>
      <w:r>
        <w:instrText xml:space="preserve"> PAGEREF _Toc24110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_Toc24278 </w:instrText>
      </w:r>
      <w:r>
        <w:fldChar w:fldCharType="separate"/>
      </w:r>
      <w:r>
        <w:rPr>
          <w:rFonts w:hint="eastAsia" w:eastAsia="宋体"/>
          <w:szCs w:val="24"/>
          <w:lang w:val="en-GB"/>
        </w:rPr>
        <w:t xml:space="preserve">5.3.1 </w:t>
      </w:r>
      <w:r>
        <w:rPr>
          <w:rFonts w:hint="eastAsia"/>
        </w:rPr>
        <w:t>墙板计权隔声量</w:t>
      </w:r>
      <w:r>
        <w:tab/>
      </w:r>
      <w:r>
        <w:fldChar w:fldCharType="begin"/>
      </w:r>
      <w:r>
        <w:instrText xml:space="preserve"> PAGEREF _Toc24278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_Toc10311 </w:instrText>
      </w:r>
      <w:r>
        <w:fldChar w:fldCharType="separate"/>
      </w:r>
      <w:r>
        <w:rPr>
          <w:rFonts w:hint="eastAsia" w:eastAsia="宋体"/>
          <w:szCs w:val="24"/>
          <w:lang w:val="en-GB"/>
        </w:rPr>
        <w:t xml:space="preserve">5.3.2 </w:t>
      </w:r>
      <w:r>
        <w:rPr>
          <w:rFonts w:hint="eastAsia"/>
        </w:rPr>
        <w:t>门窗计权隔声量</w:t>
      </w:r>
      <w:r>
        <w:tab/>
      </w:r>
      <w:r>
        <w:fldChar w:fldCharType="begin"/>
      </w:r>
      <w:r>
        <w:instrText xml:space="preserve"> PAGEREF _Toc10311 \h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_Toc3178 </w:instrText>
      </w:r>
      <w:r>
        <w:fldChar w:fldCharType="separate"/>
      </w:r>
      <w:r>
        <w:rPr>
          <w:rFonts w:hint="eastAsia"/>
          <w:lang w:val="en-GB"/>
        </w:rPr>
        <w:t xml:space="preserve">5.4 </w:t>
      </w:r>
      <w:r>
        <w:rPr>
          <w:rFonts w:hint="eastAsia"/>
        </w:rPr>
        <w:t>构件空气声隔声频谱修正量</w:t>
      </w:r>
      <w:r>
        <w:tab/>
      </w:r>
      <w:r>
        <w:fldChar w:fldCharType="begin"/>
      </w:r>
      <w:r>
        <w:instrText xml:space="preserve"> PAGEREF _Toc3178 \h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_Toc30353 </w:instrText>
      </w:r>
      <w:r>
        <w:fldChar w:fldCharType="separate"/>
      </w:r>
      <w:r>
        <w:rPr>
          <w:rFonts w:hint="eastAsia"/>
          <w:lang w:val="en-GB"/>
        </w:rPr>
        <w:t xml:space="preserve">5.5 </w:t>
      </w:r>
      <w:r>
        <w:rPr>
          <w:rFonts w:hint="eastAsia"/>
        </w:rPr>
        <w:t>构件空气声</w:t>
      </w:r>
      <w:r>
        <w:t>隔声</w:t>
      </w:r>
      <w:r>
        <w:rPr>
          <w:rFonts w:hint="eastAsia"/>
        </w:rPr>
        <w:t>性能</w:t>
      </w:r>
      <w:r>
        <w:tab/>
      </w:r>
      <w:r>
        <w:fldChar w:fldCharType="begin"/>
      </w:r>
      <w:r>
        <w:instrText xml:space="preserve"> PAGEREF _Toc30353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_Toc11418 </w:instrText>
      </w:r>
      <w:r>
        <w:fldChar w:fldCharType="separate"/>
      </w:r>
      <w:r>
        <w:rPr>
          <w:rFonts w:hint="eastAsia"/>
        </w:rPr>
        <w:t>6 楼板撞击声隔声性能</w:t>
      </w:r>
      <w:r>
        <w:tab/>
      </w:r>
      <w:r>
        <w:fldChar w:fldCharType="begin"/>
      </w:r>
      <w:r>
        <w:instrText xml:space="preserve"> PAGEREF _Toc11418 \h </w:instrText>
      </w:r>
      <w:r>
        <w:fldChar w:fldCharType="separate"/>
      </w:r>
      <w:r>
        <w:t>14</w:t>
      </w:r>
      <w:r>
        <w:fldChar w:fldCharType="end"/>
      </w:r>
      <w:r>
        <w:fldChar w:fldCharType="end"/>
      </w:r>
    </w:p>
    <w:p>
      <w:pPr>
        <w:pStyle w:val="18"/>
        <w:tabs>
          <w:tab w:val="right" w:leader="dot" w:pos="9070"/>
          <w:tab w:val="clear" w:pos="180"/>
          <w:tab w:val="clear" w:pos="9360"/>
        </w:tabs>
      </w:pPr>
      <w:r>
        <w:fldChar w:fldCharType="begin"/>
      </w:r>
      <w:r>
        <w:instrText xml:space="preserve"> HYPERLINK \l _Toc17523 </w:instrText>
      </w:r>
      <w:r>
        <w:fldChar w:fldCharType="separate"/>
      </w:r>
      <w:r>
        <w:rPr>
          <w:rFonts w:hint="eastAsia"/>
          <w:kern w:val="2"/>
        </w:rPr>
        <w:t>7 结论</w:t>
      </w:r>
      <w:r>
        <w:tab/>
      </w:r>
      <w:r>
        <w:fldChar w:fldCharType="begin"/>
      </w:r>
      <w:r>
        <w:instrText xml:space="preserve"> PAGEREF _Toc17523 \h </w:instrText>
      </w:r>
      <w:r>
        <w:fldChar w:fldCharType="separate"/>
      </w:r>
      <w:r>
        <w:t>15</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18"/>
      </w:pPr>
    </w:p>
    <w:p>
      <w:pPr>
        <w:pStyle w:val="2"/>
      </w:pPr>
      <w:bookmarkStart w:id="10" w:name="_Toc17069"/>
      <w:r>
        <w:rPr>
          <w:rFonts w:hint="eastAsia"/>
        </w:rPr>
        <w:t>建筑概况</w:t>
      </w:r>
      <w:bookmarkEnd w:id="10"/>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1" w:name="工程名称"/>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2" w:name="地上建筑面积"/>
            <w:r>
              <w:rPr>
                <w:rFonts w:hint="eastAsia" w:ascii="宋体" w:hAnsi="宋体"/>
                <w:lang w:val="en-US"/>
              </w:rPr>
              <w:t>8007</w:t>
            </w:r>
            <w:bookmarkEnd w:id="12"/>
            <w:r>
              <w:rPr>
                <w:rFonts w:hint="eastAsia" w:ascii="宋体" w:hAnsi="宋体"/>
                <w:lang w:val="en-US"/>
              </w:rPr>
              <w:t xml:space="preserve">    地下</w:t>
            </w:r>
            <w:bookmarkStart w:id="13" w:name="地下建筑面积"/>
            <w:r>
              <w:rPr>
                <w:rFonts w:hint="eastAsia" w:ascii="宋体" w:hAnsi="宋体"/>
                <w:lang w:val="en-US"/>
              </w:rPr>
              <w:t>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4" w:name="地上建筑层数"/>
            <w:r>
              <w:rPr>
                <w:rFonts w:hint="eastAsia" w:ascii="宋体" w:hAnsi="宋体"/>
                <w:lang w:val="en-US"/>
              </w:rPr>
              <w:t>2</w:t>
            </w:r>
            <w:bookmarkEnd w:id="14"/>
            <w:r>
              <w:rPr>
                <w:rFonts w:hint="eastAsia" w:ascii="宋体" w:hAnsi="宋体"/>
                <w:lang w:val="en-US"/>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6" w:name="地上建筑高度"/>
            <w:r>
              <w:rPr>
                <w:rFonts w:hint="eastAsia" w:ascii="宋体" w:hAnsi="宋体"/>
                <w:lang w:val="en-US"/>
              </w:rPr>
              <w:t>9.0</w:t>
            </w:r>
            <w:bookmarkEnd w:id="16"/>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7" w:name="北向角度"/>
            <w:r>
              <w:t>82</w:t>
            </w:r>
            <w:bookmarkEnd w:id="17"/>
          </w:p>
        </w:tc>
      </w:tr>
    </w:tbl>
    <w:p>
      <w:pPr>
        <w:pStyle w:val="3"/>
        <w:ind w:firstLine="0" w:firstLineChars="0"/>
        <w:jc w:val="center"/>
        <w:rPr>
          <w:lang w:val="en-US"/>
        </w:rPr>
      </w:pPr>
      <w:bookmarkStart w:id="18" w:name="围护结构概况"/>
      <w:bookmarkEnd w:id="18"/>
      <w:bookmarkStart w:id="19" w:name="单体模型观察图"/>
      <w:bookmarkEnd w:id="19"/>
      <w:bookmarkStart w:id="20" w:name="TitleFormat"/>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bookmarkStart w:id="21" w:name="_Toc1282"/>
      <w:r>
        <w:rPr>
          <w:rFonts w:hint="eastAsia"/>
        </w:rPr>
        <w:t>标准依据</w:t>
      </w:r>
      <w:bookmarkEnd w:id="21"/>
    </w:p>
    <w:bookmarkEnd w:id="20"/>
    <w:p>
      <w:pPr>
        <w:pStyle w:val="28"/>
        <w:widowControl w:val="0"/>
        <w:numPr>
          <w:ilvl w:val="0"/>
          <w:numId w:val="2"/>
        </w:numPr>
        <w:ind w:firstLineChars="0"/>
        <w:contextualSpacing/>
        <w:jc w:val="both"/>
        <w:rPr>
          <w:kern w:val="2"/>
          <w:szCs w:val="24"/>
          <w:lang w:val="en-US"/>
        </w:rPr>
      </w:pPr>
      <w:bookmarkStart w:id="22" w:name="计算依据"/>
      <w:bookmarkEnd w:id="22"/>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bookmarkStart w:id="23" w:name="_Toc3180"/>
      <w:r>
        <w:rPr>
          <w:rFonts w:hint="eastAsia"/>
        </w:rPr>
        <w:t>评价</w:t>
      </w:r>
      <w:r>
        <w:t>要求</w:t>
      </w:r>
      <w:bookmarkEnd w:id="23"/>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4" w:name="_Toc26402"/>
      <w:bookmarkStart w:id="25" w:name="_Toc438716944"/>
      <w:r>
        <w:rPr>
          <w:rFonts w:hint="eastAsia"/>
          <w:kern w:val="2"/>
        </w:rPr>
        <w:t>隔声理论概述</w:t>
      </w:r>
      <w:bookmarkEnd w:id="24"/>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6" w:name="_Toc503275876"/>
      <w:bookmarkStart w:id="27" w:name="_Toc503800667"/>
      <w:bookmarkStart w:id="28" w:name="_Toc503800602"/>
      <w:bookmarkStart w:id="29" w:name="_Toc12180"/>
      <w:r>
        <w:t>空气声</w:t>
      </w:r>
      <w:r>
        <w:rPr>
          <w:rFonts w:hint="eastAsia"/>
        </w:rPr>
        <w:t>隔声</w:t>
      </w:r>
      <w:bookmarkEnd w:id="26"/>
      <w:bookmarkEnd w:id="27"/>
      <w:bookmarkEnd w:id="28"/>
      <w:bookmarkEnd w:id="29"/>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30" w:name="_Toc503275877"/>
      <w:bookmarkStart w:id="31" w:name="_Toc503800668"/>
      <w:bookmarkStart w:id="32" w:name="_Toc503800603"/>
      <w:bookmarkStart w:id="33" w:name="_Toc2610"/>
      <w:r>
        <w:rPr>
          <w:rFonts w:hint="eastAsia"/>
        </w:rPr>
        <w:t>质量定律</w:t>
      </w:r>
      <w:bookmarkEnd w:id="30"/>
      <w:bookmarkEnd w:id="31"/>
      <w:bookmarkEnd w:id="32"/>
      <w:bookmarkEnd w:id="33"/>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s"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s"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s"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s"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4" w:name="_Toc503800604"/>
      <w:bookmarkStart w:id="35" w:name="_Toc503800669"/>
      <w:bookmarkStart w:id="36" w:name="_Toc503275878"/>
      <w:bookmarkStart w:id="37" w:name="_Toc25960"/>
      <w:r>
        <w:rPr>
          <w:rFonts w:hint="eastAsia"/>
        </w:rPr>
        <w:t>单层匀</w:t>
      </w:r>
      <w:r>
        <w:t>质</w:t>
      </w:r>
      <w:r>
        <w:rPr>
          <w:rFonts w:hint="eastAsia"/>
        </w:rPr>
        <w:t>密实墙体</w:t>
      </w:r>
      <w:r>
        <w:t>的空气声</w:t>
      </w:r>
      <w:r>
        <w:rPr>
          <w:rFonts w:hint="eastAsia"/>
        </w:rPr>
        <w:t>隔声</w:t>
      </w:r>
      <w:bookmarkEnd w:id="34"/>
      <w:bookmarkEnd w:id="35"/>
      <w:bookmarkEnd w:id="36"/>
      <w:bookmarkEnd w:id="37"/>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8" w:name="_Ref266689359"/>
      <w:r>
        <w:rPr>
          <w:rFonts w:hint="eastAsia" w:ascii="黑体" w:hAnsi="黑体" w:eastAsia="黑体"/>
          <w:lang w:val="en-US"/>
        </w:rPr>
        <w:t>图</w:t>
      </w:r>
      <w:bookmarkEnd w:id="38"/>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39" w:name="_Toc277862962"/>
      <w:bookmarkStart w:id="40" w:name="_Toc407804793"/>
      <w:bookmarkStart w:id="41" w:name="_Toc314558959"/>
      <w:bookmarkStart w:id="42" w:name="_Toc503275879"/>
      <w:bookmarkStart w:id="43" w:name="_Toc503800605"/>
      <w:bookmarkStart w:id="44" w:name="_Toc503800670"/>
      <w:bookmarkStart w:id="45" w:name="_Toc15813"/>
      <w:r>
        <w:rPr>
          <w:rFonts w:hint="eastAsia"/>
        </w:rPr>
        <w:t>多层复合板的</w:t>
      </w:r>
      <w:bookmarkEnd w:id="39"/>
      <w:bookmarkEnd w:id="40"/>
      <w:bookmarkEnd w:id="41"/>
      <w:r>
        <w:rPr>
          <w:rFonts w:hint="eastAsia"/>
        </w:rPr>
        <w:t>隔声性能</w:t>
      </w:r>
      <w:bookmarkEnd w:id="42"/>
      <w:bookmarkEnd w:id="43"/>
      <w:bookmarkEnd w:id="44"/>
      <w:bookmarkEnd w:id="45"/>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6" w:name="_Ref266720453"/>
      <w:r>
        <w:rPr>
          <w:rFonts w:hint="eastAsia" w:ascii="黑体" w:hAnsi="黑体" w:eastAsia="黑体"/>
          <w:lang w:val="en-US"/>
        </w:rPr>
        <w:t>图</w:t>
      </w:r>
      <w:bookmarkEnd w:id="46"/>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7" w:name="_Toc503800606"/>
      <w:bookmarkStart w:id="48" w:name="_Toc503800671"/>
      <w:bookmarkStart w:id="49" w:name="_Toc503275880"/>
      <w:bookmarkStart w:id="50" w:name="_Toc13607"/>
      <w:r>
        <w:rPr>
          <w:rFonts w:hint="eastAsia"/>
        </w:rPr>
        <w:t>撞击声隔声</w:t>
      </w:r>
      <w:bookmarkEnd w:id="47"/>
      <w:bookmarkEnd w:id="48"/>
      <w:bookmarkEnd w:id="49"/>
      <w:bookmarkEnd w:id="50"/>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m:rPr/>
              <w:rPr>
                <w:rFonts w:ascii="Cambria Math" w:hAnsi="Cambria Math" w:cs="Times New Roman"/>
              </w:rPr>
              <m:t>L</m:t>
            </m:r>
            <m:ctrlPr>
              <w:rPr>
                <w:rFonts w:ascii="Cambria Math" w:hAnsi="Cambria Math" w:cs="Times New Roman"/>
              </w:rPr>
            </m:ctrlPr>
          </m:e>
          <m:sub>
            <m:r>
              <m:rPr/>
              <w:rPr>
                <w:rFonts w:ascii="Cambria Math" w:hAnsi="Cambria Math" w:cs="Times New Roman"/>
              </w:rPr>
              <m:t>n</m:t>
            </m:r>
            <m:ctrlPr>
              <w:rPr>
                <w:rFonts w:ascii="Cambria Math" w:hAnsi="Cambria Math" w:cs="Times New Roman"/>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L</m:t>
            </m:r>
            <m:ctrlPr>
              <w:rPr>
                <w:rFonts w:ascii="Cambria Math" w:hAnsi="Cambria Math" w:cs="Times New Roman"/>
                <w:i/>
              </w:rPr>
            </m:ctrlPr>
          </m:e>
          <m:sub>
            <m:r>
              <m:rPr/>
              <w:rPr>
                <w:rFonts w:ascii="Cambria Math" w:hAnsi="Cambria Math" w:cs="Times New Roman"/>
              </w:rPr>
              <m:t>i</m:t>
            </m:r>
            <m:ctrlPr>
              <w:rPr>
                <w:rFonts w:ascii="Cambria Math" w:hAnsi="Cambria Math" w:cs="Times New Roman"/>
                <w:i/>
              </w:rPr>
            </m:ctrlPr>
          </m:sub>
        </m:sSub>
        <m:r>
          <m:rP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m:rP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m:rPr/>
                  <w:rPr>
                    <w:rFonts w:ascii="Cambria Math" w:hAnsi="Cambria Math" w:cs="Times New Roman"/>
                  </w:rPr>
                  <m:t>A</m:t>
                </m:r>
                <m:ctrlPr>
                  <w:rPr>
                    <w:rFonts w:ascii="Cambria Math" w:hAnsi="Cambria Math" w:cs="Times New Roman"/>
                    <w:i/>
                  </w:rPr>
                </m:ctrlPr>
              </m:e>
              <m:sub>
                <m:r>
                  <m:rP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m:rPr/>
              <w:rPr>
                <w:rFonts w:ascii="Cambria Math" w:hAnsi="Cambria Math"/>
                <w:lang w:val="en-US"/>
              </w:rPr>
              <m:t>L</m:t>
            </m:r>
            <m:ctrlPr>
              <w:rPr>
                <w:rFonts w:ascii="Cambria Math" w:hAnsi="Cambria Math"/>
                <w:i/>
                <w:lang w:val="en-US"/>
              </w:rPr>
            </m:ctrlPr>
          </m:e>
          <m:sub>
            <m:r>
              <m:rP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bookmarkStart w:id="51" w:name="_Toc21060"/>
      <w:r>
        <w:rPr>
          <w:rFonts w:hint="eastAsia"/>
        </w:rPr>
        <w:t>构件空气声隔声量计算过程</w:t>
      </w:r>
      <w:bookmarkEnd w:id="51"/>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bookmarkStart w:id="52" w:name="_Toc8977"/>
      <w:r>
        <w:rPr>
          <w:rFonts w:hint="eastAsia"/>
        </w:rPr>
        <w:t>计算条件</w:t>
      </w:r>
      <w:bookmarkEnd w:id="52"/>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bl>
    <w:p>
      <w:pPr>
        <w:pStyle w:val="13"/>
        <w:ind w:firstLine="420" w:firstLineChars="0"/>
        <w:jc w:val="center"/>
        <w:rPr>
          <w:rFonts w:ascii="宋体" w:hAnsi="宋体" w:eastAsia="宋体"/>
          <w:kern w:val="0"/>
          <w:sz w:val="21"/>
          <w:szCs w:val="21"/>
        </w:rPr>
      </w:pPr>
      <w:bookmarkStart w:id="53" w:name="围护结构材料清单"/>
      <w:bookmarkEnd w:id="53"/>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bookmarkStart w:id="54" w:name="_Toc25196"/>
      <w:r>
        <w:rPr>
          <w:rFonts w:hint="eastAsia"/>
        </w:rPr>
        <w:t>构件在倍频程下的空气声隔声量</w:t>
      </w:r>
      <w:bookmarkEnd w:id="54"/>
    </w:p>
    <w:p>
      <w:pPr>
        <w:pStyle w:val="5"/>
      </w:pPr>
      <w:bookmarkStart w:id="55" w:name="_Toc20615"/>
      <w:r>
        <w:rPr>
          <w:rFonts w:hint="eastAsia"/>
        </w:rPr>
        <w:t>墙板各频程下空气声隔声量</w:t>
      </w:r>
      <w:bookmarkEnd w:id="55"/>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m:rPr/>
          <w:rPr>
            <w:rFonts w:ascii="Cambria Math" w:hAnsi="Cambria Math" w:eastAsia="Dotum"/>
            <w:sz w:val="24"/>
            <w:szCs w:val="24"/>
          </w:rPr>
          <m:t>R</m:t>
        </m:r>
        <m:r>
          <m:rPr>
            <m:sty m:val="p"/>
          </m:rPr>
          <w:rPr>
            <w:rFonts w:ascii="Cambria Math" w:hAnsi="Cambria Math" w:eastAsia="Dotum"/>
            <w:sz w:val="24"/>
            <w:szCs w:val="24"/>
          </w:rPr>
          <m:t>=</m:t>
        </m:r>
        <w:bookmarkStart w:id="56" w:name="公式A1"/>
        <m:r>
          <m:rPr>
            <m:sty m:val="p"/>
          </m:rPr>
          <m:t>23</m:t>
        </m:r>
        <w:bookmarkEnd w:id="56"/>
        <m:r>
          <m:rPr>
            <m:sty m:val="p"/>
          </m:rPr>
          <w:rPr>
            <w:rFonts w:ascii="Cambria Math" w:hAnsi="Cambria Math" w:eastAsia="Dotum"/>
            <w:sz w:val="24"/>
            <w:szCs w:val="24"/>
          </w:rPr>
          <m:t>lg</m:t>
        </m:r>
        <m:r>
          <m:rPr/>
          <w:rPr>
            <w:rFonts w:ascii="Cambria Math" w:hAnsi="Cambria Math" w:eastAsia="Dotum"/>
            <w:sz w:val="24"/>
            <w:szCs w:val="24"/>
          </w:rPr>
          <m:t>m</m:t>
        </m:r>
        <m:r>
          <m:rPr>
            <m:sty m:val="p"/>
          </m:rPr>
          <w:rPr>
            <w:rFonts w:ascii="Cambria Math" w:hAnsi="Cambria Math" w:eastAsia="Dotum"/>
            <w:sz w:val="24"/>
            <w:szCs w:val="24"/>
          </w:rPr>
          <m:t>+</m:t>
        </m:r>
        <w:bookmarkStart w:id="57" w:name="公式B1"/>
        <m:r>
          <m:rPr>
            <m:sty m:val="p"/>
          </m:rPr>
          <m:t>11</m:t>
        </m:r>
        <w:bookmarkEnd w:id="57"/>
        <m:r>
          <m:rPr>
            <m:sty m:val="p"/>
          </m:rPr>
          <w:rPr>
            <w:rFonts w:ascii="Cambria Math" w:hAnsi="Cambria Math" w:eastAsia="Dotum"/>
            <w:sz w:val="24"/>
            <w:szCs w:val="24"/>
          </w:rPr>
          <m:t>lg</m:t>
        </m:r>
        <m:r>
          <m:rPr/>
          <w:rPr>
            <w:rFonts w:hint="eastAsia" w:ascii="Cambria Math" w:hAnsi="Cambria Math" w:eastAsia="Dotum"/>
            <w:sz w:val="24"/>
            <w:szCs w:val="24"/>
          </w:rPr>
          <m:t>ƒ</m:t>
        </m:r>
        <m:r>
          <m:rPr>
            <m:sty m:val="p"/>
          </m:rPr>
          <w:rPr>
            <w:rFonts w:ascii="Cambria Math" w:hAnsi="Cambria Math" w:eastAsia="Dotum"/>
            <w:sz w:val="24"/>
            <w:szCs w:val="24"/>
          </w:rPr>
          <m:t>+(</m:t>
        </m:r>
        <w:bookmarkStart w:id="58" w:name="公式C1"/>
        <m:r>
          <m:rPr>
            <m:sty m:val="p"/>
          </m:rPr>
          <m:t>−41</m:t>
        </m:r>
        <w:bookmarkEnd w:id="58"/>
        <m:r>
          <m:rPr>
            <m:sty m:val="p"/>
          </m:rPr>
          <w:rPr>
            <w:rFonts w:ascii="Cambria Math" w:hAnsi="Cambria Math" w:eastAsia="Dotum"/>
            <w:sz w:val="24"/>
            <w:szCs w:val="24"/>
          </w:rPr>
          <m:t>)    (</m:t>
        </m:r>
        <m:r>
          <m:rPr/>
          <w:rPr>
            <w:rFonts w:ascii="Cambria Math" w:hAnsi="Cambria Math" w:eastAsia="Dotum"/>
            <w:sz w:val="24"/>
            <w:szCs w:val="24"/>
          </w:rPr>
          <m:t>m</m:t>
        </m:r>
        <m:r>
          <m:rPr>
            <m:sty m:val="p"/>
          </m:rPr>
          <w:rPr>
            <w:rFonts w:ascii="Cambria Math" w:hAnsi="Cambria Math" w:eastAsiaTheme="minorEastAsia"/>
            <w:sz w:val="24"/>
            <w:szCs w:val="24"/>
          </w:rPr>
          <m:t>≥200</m:t>
        </m:r>
        <m:r>
          <m:rPr/>
          <w:rPr>
            <w:rFonts w:ascii="Cambria Math" w:hAnsi="Cambria Math" w:eastAsiaTheme="minorEastAsia"/>
            <w:sz w:val="24"/>
            <w:szCs w:val="24"/>
          </w:rPr>
          <m:t>kg/</m:t>
        </m:r>
        <m:sSup>
          <m:sSupPr>
            <m:ctrlPr>
              <w:rPr>
                <w:rFonts w:ascii="Cambria Math" w:hAnsi="Cambria Math" w:eastAsia="Cambria Math"/>
                <w:i/>
                <w:kern w:val="2"/>
              </w:rPr>
            </m:ctrlPr>
          </m:sSupPr>
          <m:e>
            <m:r>
              <m:rPr/>
              <w:rPr>
                <w:rFonts w:ascii="Cambria Math" w:hAnsi="Cambria Math" w:eastAsia="Cambria Math"/>
                <w:kern w:val="2"/>
                <w:lang w:val="en-US"/>
              </w:rPr>
              <m:t>m</m:t>
            </m:r>
            <m:ctrlPr>
              <w:rPr>
                <w:rFonts w:ascii="Cambria Math" w:hAnsi="Cambria Math" w:eastAsia="Cambria Math"/>
                <w:i/>
                <w:kern w:val="2"/>
              </w:rPr>
            </m:ctrlPr>
          </m:e>
          <m:sup>
            <m:r>
              <m:rP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m:rPr/>
          <w:rPr>
            <w:rFonts w:ascii="Cambria Math" w:hAnsi="Cambria Math" w:eastAsia="Dotum"/>
            <w:sz w:val="24"/>
            <w:szCs w:val="24"/>
          </w:rPr>
          <m:t>R</m:t>
        </m:r>
        <m:r>
          <m:rPr>
            <m:sty m:val="p"/>
          </m:rPr>
          <w:rPr>
            <w:rFonts w:ascii="Cambria Math" w:hAnsi="Cambria Math" w:eastAsia="Dotum"/>
            <w:sz w:val="24"/>
            <w:szCs w:val="24"/>
          </w:rPr>
          <m:t>=</m:t>
        </m:r>
        <w:bookmarkStart w:id="59" w:name="公式A2"/>
        <m:r>
          <m:rPr>
            <m:sty m:val="p"/>
          </m:rPr>
          <m:t>13</m:t>
        </m:r>
        <w:bookmarkEnd w:id="59"/>
        <m:r>
          <m:rPr>
            <m:sty m:val="p"/>
          </m:rPr>
          <w:rPr>
            <w:rFonts w:ascii="Cambria Math" w:hAnsi="Cambria Math" w:eastAsia="Dotum"/>
            <w:sz w:val="24"/>
            <w:szCs w:val="24"/>
          </w:rPr>
          <m:t>lg</m:t>
        </m:r>
        <m:r>
          <m:rPr/>
          <w:rPr>
            <w:rFonts w:ascii="Cambria Math" w:hAnsi="Cambria Math" w:eastAsia="Dotum"/>
            <w:sz w:val="24"/>
            <w:szCs w:val="24"/>
          </w:rPr>
          <m:t>m</m:t>
        </m:r>
        <m:r>
          <m:rPr>
            <m:sty m:val="p"/>
          </m:rPr>
          <w:rPr>
            <w:rFonts w:ascii="Cambria Math" w:hAnsi="Cambria Math" w:eastAsia="Dotum"/>
            <w:sz w:val="24"/>
            <w:szCs w:val="24"/>
          </w:rPr>
          <m:t>+</m:t>
        </m:r>
        <w:bookmarkStart w:id="60" w:name="公式B2"/>
        <m:r>
          <m:rPr>
            <m:sty m:val="p"/>
          </m:rPr>
          <m:t>11</m:t>
        </m:r>
        <w:bookmarkEnd w:id="60"/>
        <m:r>
          <m:rPr>
            <m:sty m:val="p"/>
          </m:rPr>
          <w:rPr>
            <w:rFonts w:ascii="Cambria Math" w:hAnsi="Cambria Math" w:eastAsia="Dotum"/>
            <w:sz w:val="24"/>
            <w:szCs w:val="24"/>
          </w:rPr>
          <m:t>lg</m:t>
        </m:r>
        <m:r>
          <m:rPr/>
          <w:rPr>
            <w:rFonts w:hint="eastAsia" w:ascii="Cambria Math" w:hAnsi="Cambria Math" w:eastAsia="Dotum"/>
            <w:sz w:val="24"/>
            <w:szCs w:val="24"/>
          </w:rPr>
          <m:t>ƒ</m:t>
        </m:r>
        <m:r>
          <m:rPr>
            <m:sty m:val="p"/>
          </m:rPr>
          <w:rPr>
            <w:rFonts w:ascii="Cambria Math" w:hAnsi="Cambria Math" w:eastAsia="Dotum"/>
            <w:sz w:val="24"/>
            <w:szCs w:val="24"/>
          </w:rPr>
          <m:t>+(</m:t>
        </m:r>
        <w:bookmarkStart w:id="61" w:name="公式C2"/>
        <m:r>
          <m:rPr>
            <m:sty m:val="p"/>
          </m:rPr>
          <m:t>−18</m:t>
        </m:r>
        <w:bookmarkEnd w:id="61"/>
        <m:r>
          <m:rPr>
            <m:sty m:val="p"/>
          </m:rPr>
          <w:rPr>
            <w:rFonts w:ascii="Cambria Math" w:hAnsi="Cambria Math" w:eastAsia="Dotum"/>
            <w:sz w:val="24"/>
            <w:szCs w:val="24"/>
          </w:rPr>
          <m:t>)    (</m:t>
        </m:r>
        <m:r>
          <m:rPr/>
          <w:rPr>
            <w:rFonts w:ascii="Cambria Math" w:hAnsi="Cambria Math" w:eastAsia="Dotum"/>
            <w:sz w:val="24"/>
            <w:szCs w:val="24"/>
          </w:rPr>
          <m:t>m</m:t>
        </m:r>
        <m:r>
          <m:rPr>
            <m:sty m:val="p"/>
          </m:rPr>
          <w:rPr>
            <w:rFonts w:ascii="Cambria Math" w:hAnsi="Cambria Math" w:eastAsiaTheme="minorEastAsia"/>
            <w:sz w:val="24"/>
            <w:szCs w:val="24"/>
          </w:rPr>
          <m:t>≤200</m:t>
        </m:r>
        <m:r>
          <m:rPr/>
          <w:rPr>
            <w:rFonts w:ascii="Cambria Math" w:hAnsi="Cambria Math" w:eastAsiaTheme="minorEastAsia"/>
            <w:sz w:val="24"/>
            <w:szCs w:val="24"/>
          </w:rPr>
          <m:t>kg/</m:t>
        </m:r>
        <m:sSup>
          <m:sSupPr>
            <m:ctrlPr>
              <w:rPr>
                <w:rFonts w:ascii="Cambria Math" w:hAnsi="Cambria Math" w:eastAsia="Cambria Math"/>
                <w:i/>
                <w:kern w:val="2"/>
              </w:rPr>
            </m:ctrlPr>
          </m:sSupPr>
          <m:e>
            <m:r>
              <m:rPr/>
              <w:rPr>
                <w:rFonts w:ascii="Cambria Math" w:hAnsi="Cambria Math" w:eastAsia="Cambria Math"/>
                <w:kern w:val="2"/>
                <w:lang w:val="en-US"/>
              </w:rPr>
              <m:t>m</m:t>
            </m:r>
            <m:ctrlPr>
              <w:rPr>
                <w:rFonts w:ascii="Cambria Math" w:hAnsi="Cambria Math" w:eastAsia="Cambria Math"/>
                <w:i/>
                <w:kern w:val="2"/>
              </w:rPr>
            </m:ctrlPr>
          </m:e>
          <m:sup>
            <m:r>
              <m:rP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bookmarkStart w:id="62" w:name="_Toc32101"/>
      <w:r>
        <w:rPr>
          <w:rFonts w:hint="eastAsia"/>
        </w:rPr>
        <w:t>门窗各频程下空气声隔声量</w:t>
      </w:r>
      <w:bookmarkEnd w:id="62"/>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bookmarkStart w:id="63" w:name="_Toc24110"/>
      <w:r>
        <w:rPr>
          <w:rFonts w:hint="eastAsia"/>
        </w:rPr>
        <w:t>构件计权隔声量</w:t>
      </w:r>
      <w:bookmarkEnd w:id="63"/>
    </w:p>
    <w:p>
      <w:pPr>
        <w:pStyle w:val="5"/>
      </w:pPr>
      <w:bookmarkStart w:id="64" w:name="_Toc24278"/>
      <w:r>
        <w:rPr>
          <w:rFonts w:hint="eastAsia"/>
        </w:rPr>
        <w:t>墙板计权隔声量</w:t>
      </w:r>
      <w:bookmarkEnd w:id="64"/>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59264;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0288;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65"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66"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65"/>
      <w:bookmarkEnd w:id="66"/>
    </w:tbl>
    <w:p>
      <w:pPr>
        <w:pStyle w:val="5"/>
      </w:pPr>
      <w:bookmarkStart w:id="67" w:name="_Toc10311"/>
      <w:r>
        <w:rPr>
          <w:rFonts w:hint="eastAsia"/>
        </w:rPr>
        <w:t>门窗计权隔声量</w:t>
      </w:r>
      <w:bookmarkEnd w:id="67"/>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bookmarkStart w:id="68" w:name="_Toc3178"/>
      <w:r>
        <w:rPr>
          <w:rFonts w:hint="eastAsia"/>
        </w:rPr>
        <w:t>构件空气声</w:t>
      </w:r>
      <w:bookmarkStart w:id="69" w:name="_Toc497903419"/>
      <w:r>
        <w:rPr>
          <w:rFonts w:hint="eastAsia"/>
        </w:rPr>
        <w:t>隔声频谱修正量</w:t>
      </w:r>
      <w:bookmarkEnd w:id="68"/>
      <w:bookmarkEnd w:id="69"/>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61312;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bookmarkStart w:id="70" w:name="_Toc30353"/>
      <w:r>
        <w:rPr>
          <w:rFonts w:hint="eastAsia"/>
        </w:rPr>
        <w:t>构件空气声</w:t>
      </w:r>
      <w:r>
        <w:t>隔声</w:t>
      </w:r>
      <w:r>
        <w:rPr>
          <w:rFonts w:hint="eastAsia"/>
        </w:rPr>
        <w:t>性能</w:t>
      </w:r>
      <w:bookmarkEnd w:id="70"/>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43.0</w:t>
            </w:r>
          </w:p>
        </w:tc>
        <w:tc>
          <w:tcPr>
            <w:vAlign w:val="center"/>
          </w:tcPr>
          <w:p>
            <w:r>
              <w:t>49.0</w:t>
            </w:r>
          </w:p>
        </w:tc>
        <w:tc>
          <w:tcPr>
            <w:vAlign w:val="center"/>
          </w:tcPr>
          <w:p>
            <w:r>
              <w:t>57.0</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w:t>
            </w:r>
          </w:p>
        </w:tc>
        <w:tc>
          <w:tcPr>
            <w:vAlign w:val="center"/>
          </w:tcPr>
          <w:p>
            <w:r>
              <w:t>构造作法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43.0</w:t>
            </w:r>
          </w:p>
        </w:tc>
        <w:tc>
          <w:tcPr>
            <w:vAlign w:val="center"/>
          </w:tcPr>
          <w:p>
            <w:r>
              <w:t>49.0</w:t>
            </w:r>
          </w:p>
        </w:tc>
        <w:tc>
          <w:tcPr>
            <w:vAlign w:val="center"/>
          </w:tcPr>
          <w:p>
            <w:r>
              <w:t>57.0</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起居室外墙</w:t>
            </w:r>
          </w:p>
        </w:tc>
        <w:tc>
          <w:tcPr>
            <w:vAlign w:val="center"/>
          </w:tcPr>
          <w:p>
            <w:r>
              <w:t>构造作法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43.0</w:t>
            </w:r>
          </w:p>
        </w:tc>
        <w:tc>
          <w:tcPr>
            <w:vAlign w:val="center"/>
          </w:tcPr>
          <w:p>
            <w:r>
              <w:t>49.0</w:t>
            </w:r>
          </w:p>
        </w:tc>
        <w:tc>
          <w:tcPr>
            <w:vAlign w:val="center"/>
          </w:tcPr>
          <w:p>
            <w:r>
              <w:t>57.0</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43.0</w:t>
            </w:r>
          </w:p>
        </w:tc>
        <w:tc>
          <w:tcPr>
            <w:vAlign w:val="center"/>
          </w:tcPr>
          <w:p>
            <w:r>
              <w:t>49.0</w:t>
            </w:r>
          </w:p>
        </w:tc>
        <w:tc>
          <w:tcPr>
            <w:vAlign w:val="center"/>
          </w:tcPr>
          <w:p>
            <w:r>
              <w:t>57.0</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分户楼板1</w:t>
            </w:r>
          </w:p>
        </w:tc>
        <w:tc>
          <w:tcPr>
            <w:vAlign w:val="center"/>
          </w:tcPr>
          <w:p>
            <w:r>
              <w:t>构造作法</w:t>
            </w:r>
          </w:p>
        </w:tc>
        <w:tc>
          <w:tcPr>
            <w:gridSpan w:val="5"/>
            <w:vAlign w:val="center"/>
          </w:tcPr>
          <w:p>
            <w:r>
              <w:t>水泥砂浆 20mm＋钢筋混凝土 120mm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43.0</w:t>
            </w:r>
          </w:p>
        </w:tc>
        <w:tc>
          <w:tcPr>
            <w:vAlign w:val="center"/>
          </w:tcPr>
          <w:p>
            <w:r>
              <w:t>49.0</w:t>
            </w:r>
          </w:p>
        </w:tc>
        <w:tc>
          <w:tcPr>
            <w:vAlign w:val="center"/>
          </w:tcPr>
          <w:p>
            <w:r>
              <w:t>57.0</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分户楼板2</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6.0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分隔住宅和非居住用途空间的楼板</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50.0</w:t>
            </w:r>
          </w:p>
        </w:tc>
        <w:tc>
          <w:tcPr>
            <w:vAlign w:val="center"/>
          </w:tcPr>
          <w:p>
            <w:r>
              <w:t>51.0</w:t>
            </w:r>
          </w:p>
        </w:tc>
        <w:tc>
          <w:tcPr>
            <w:vAlign w:val="center"/>
          </w:tcPr>
          <w:p>
            <w:r>
              <w:t>58.0</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6.0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bl>
    <w:p>
      <w:pPr>
        <w:pStyle w:val="13"/>
        <w:ind w:firstLine="420" w:firstLineChars="0"/>
        <w:jc w:val="left"/>
        <w:rPr>
          <w:rFonts w:ascii="宋体" w:hAnsi="宋体" w:eastAsia="宋体"/>
          <w:kern w:val="0"/>
          <w:sz w:val="21"/>
          <w:szCs w:val="21"/>
        </w:rPr>
      </w:pPr>
      <w:bookmarkStart w:id="71" w:name="墙板空气声隔声量"/>
      <w:bookmarkEnd w:id="71"/>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36.4</w:t>
            </w:r>
          </w:p>
        </w:tc>
        <w:tc>
          <w:tcPr>
            <w:vAlign w:val="center"/>
          </w:tcPr>
          <w:p>
            <w:r>
              <w:t>40.9</w:t>
            </w:r>
          </w:p>
        </w:tc>
        <w:tc>
          <w:tcPr>
            <w:vAlign w:val="center"/>
          </w:tcPr>
          <w:p>
            <w:r>
              <w:t>47.9</w:t>
            </w:r>
          </w:p>
        </w:tc>
        <w:tc>
          <w:tcPr>
            <w:vAlign w:val="center"/>
          </w:tcPr>
          <w:p>
            <w:r>
              <w:t>47.3</w:t>
            </w:r>
          </w:p>
        </w:tc>
        <w:tc>
          <w:tcPr>
            <w:vAlign w:val="center"/>
          </w:tcPr>
          <w:p>
            <w:r>
              <w:t>52.7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1.1</w:t>
            </w:r>
          </w:p>
        </w:tc>
        <w:tc>
          <w:tcPr>
            <w:vAlign w:val="center"/>
          </w:tcPr>
          <w:p>
            <w:r>
              <w:t>1.1</w:t>
            </w:r>
          </w:p>
        </w:tc>
        <w:tc>
          <w:tcPr>
            <w:vAlign w:val="center"/>
          </w:tcPr>
          <w:p>
            <w:r>
              <w:t>4.7</w:t>
            </w:r>
          </w:p>
        </w:tc>
        <w:tc>
          <w:tcPr>
            <w:vAlign w:val="center"/>
          </w:tcPr>
          <w:p>
            <w:r>
              <w:t>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72" w:name="门窗空气声隔声量"/>
      <w:bookmarkEnd w:id="72"/>
    </w:p>
    <w:p>
      <w:pPr>
        <w:pStyle w:val="2"/>
      </w:pPr>
      <w:bookmarkStart w:id="73" w:name="_Toc11418"/>
      <w:r>
        <w:rPr>
          <w:rFonts w:hint="eastAsia"/>
        </w:rPr>
        <w:t>楼板撞击声隔声性能</w:t>
      </w:r>
      <w:bookmarkEnd w:id="73"/>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62336;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63360;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18"/>
        <w:gridCol w:w="820"/>
        <w:gridCol w:w="820"/>
        <w:gridCol w:w="820"/>
        <w:gridCol w:w="820"/>
        <w:gridCol w:w="820"/>
        <w:gridCol w:w="848"/>
        <w:gridCol w:w="1273"/>
        <w:gridCol w:w="8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构件</w:t>
            </w:r>
          </w:p>
        </w:tc>
        <w:tc>
          <w:tcPr>
            <w:gridSpan w:val="5"/>
            <w:shd w:val="clear" w:color="auto" w:fill="E6E6E6"/>
            <w:vAlign w:val="center"/>
          </w:tcPr>
          <w:p>
            <w:pPr>
              <w:jc w:val="center"/>
            </w:pPr>
            <w:r>
              <w:rPr>
                <w:sz w:val="18"/>
                <w:szCs w:val="18"/>
              </w:rPr>
              <w:t>规范化撞击声压级(dB)</w:t>
            </w:r>
            <w:r>
              <w:rPr>
                <w:sz w:val="18"/>
                <w:szCs w:val="18"/>
              </w:rPr>
              <w:br w:type="textWrapping"/>
            </w:r>
            <w:r>
              <w:rPr>
                <w:sz w:val="18"/>
                <w:szCs w:val="18"/>
              </w:rPr>
              <w:t>不利偏差(dB)</w:t>
            </w:r>
          </w:p>
        </w:tc>
        <w:tc>
          <w:tcPr>
            <w:vMerge w:val="restart"/>
            <w:shd w:val="clear" w:color="auto" w:fill="E6E6E6"/>
            <w:vAlign w:val="center"/>
          </w:tcPr>
          <w:p>
            <w:pPr>
              <w:jc w:val="center"/>
            </w:pPr>
            <w:r>
              <w:rPr>
                <w:sz w:val="18"/>
                <w:szCs w:val="18"/>
              </w:rPr>
              <w:t>计权规范化撞击声压级(dB)</w:t>
            </w:r>
          </w:p>
        </w:tc>
        <w:tc>
          <w:tcPr>
            <w:vMerge w:val="restart"/>
            <w:shd w:val="clear" w:color="auto" w:fill="E6E6E6"/>
            <w:vAlign w:val="center"/>
          </w:tcPr>
          <w:p>
            <w:pPr>
              <w:jc w:val="center"/>
            </w:pPr>
            <w:r>
              <w:rPr>
                <w:sz w:val="18"/>
                <w:szCs w:val="18"/>
              </w:rPr>
              <w:t>标准限值</w:t>
            </w:r>
          </w:p>
        </w:tc>
        <w:tc>
          <w:tcPr>
            <w:vMerge w:val="restart"/>
            <w:shd w:val="clear" w:color="auto" w:fill="E6E6E6"/>
            <w:vAlign w:val="center"/>
          </w:tcPr>
          <w:p>
            <w:pPr>
              <w:jc w:val="center"/>
            </w:pPr>
            <w:r>
              <w:rPr>
                <w:sz w:val="18"/>
                <w:szCs w:val="18"/>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gridSpan w:val="5"/>
            <w:shd w:val="clear" w:color="auto" w:fill="E6E6E6"/>
            <w:vAlign w:val="center"/>
          </w:tcPr>
          <w:p>
            <w:pPr>
              <w:jc w:val="center"/>
            </w:pPr>
            <w:r>
              <w:rPr>
                <w:sz w:val="18"/>
                <w:szCs w:val="18"/>
              </w:rPr>
              <w:t>倍频程中心频率(dB)</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shd w:val="clear" w:color="auto" w:fill="E6E6E6"/>
            <w:vAlign w:val="center"/>
          </w:tcPr>
          <w:p>
            <w:pPr>
              <w:jc w:val="center"/>
            </w:pPr>
            <w:r>
              <w:rPr>
                <w:sz w:val="18"/>
                <w:szCs w:val="18"/>
              </w:rPr>
              <w:t>125Hz</w:t>
            </w:r>
          </w:p>
        </w:tc>
        <w:tc>
          <w:tcPr>
            <w:shd w:val="clear" w:color="auto" w:fill="E6E6E6"/>
            <w:vAlign w:val="center"/>
          </w:tcPr>
          <w:p>
            <w:pPr>
              <w:jc w:val="center"/>
            </w:pPr>
            <w:r>
              <w:rPr>
                <w:sz w:val="18"/>
                <w:szCs w:val="18"/>
              </w:rPr>
              <w:t>250Hz</w:t>
            </w:r>
          </w:p>
        </w:tc>
        <w:tc>
          <w:tcPr>
            <w:shd w:val="clear" w:color="auto" w:fill="E6E6E6"/>
            <w:vAlign w:val="center"/>
          </w:tcPr>
          <w:p>
            <w:pPr>
              <w:jc w:val="center"/>
            </w:pPr>
            <w:r>
              <w:rPr>
                <w:sz w:val="18"/>
                <w:szCs w:val="18"/>
              </w:rPr>
              <w:t>500Hz</w:t>
            </w:r>
          </w:p>
        </w:tc>
        <w:tc>
          <w:tcPr>
            <w:shd w:val="clear" w:color="auto" w:fill="E6E6E6"/>
            <w:vAlign w:val="center"/>
          </w:tcPr>
          <w:p>
            <w:pPr>
              <w:jc w:val="center"/>
            </w:pPr>
            <w:r>
              <w:rPr>
                <w:sz w:val="18"/>
                <w:szCs w:val="18"/>
              </w:rPr>
              <w:t>1000Hz</w:t>
            </w:r>
          </w:p>
        </w:tc>
        <w:tc>
          <w:tcPr>
            <w:shd w:val="clear" w:color="auto" w:fill="E6E6E6"/>
            <w:vAlign w:val="center"/>
          </w:tcPr>
          <w:p>
            <w:pPr>
              <w:jc w:val="center"/>
            </w:pPr>
            <w:r>
              <w:rPr>
                <w:sz w:val="18"/>
                <w:szCs w:val="18"/>
              </w:rPr>
              <w:t>2000Hz</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起居室的分户楼板</w:t>
            </w:r>
          </w:p>
        </w:tc>
        <w:tc>
          <w:tcPr>
            <w:vAlign w:val="center"/>
          </w:tcPr>
          <w:p>
            <w:r>
              <w:rPr>
                <w:sz w:val="18"/>
                <w:szCs w:val="18"/>
              </w:rPr>
              <w:t>54.8</w:t>
            </w:r>
          </w:p>
        </w:tc>
        <w:tc>
          <w:tcPr>
            <w:vAlign w:val="center"/>
          </w:tcPr>
          <w:p>
            <w:r>
              <w:rPr>
                <w:sz w:val="18"/>
                <w:szCs w:val="18"/>
              </w:rPr>
              <w:t>55.3</w:t>
            </w:r>
          </w:p>
        </w:tc>
        <w:tc>
          <w:tcPr>
            <w:vAlign w:val="center"/>
          </w:tcPr>
          <w:p>
            <w:r>
              <w:rPr>
                <w:sz w:val="18"/>
                <w:szCs w:val="18"/>
              </w:rPr>
              <w:t>59.4</w:t>
            </w:r>
          </w:p>
        </w:tc>
        <w:tc>
          <w:tcPr>
            <w:vAlign w:val="center"/>
          </w:tcPr>
          <w:p>
            <w:r>
              <w:rPr>
                <w:sz w:val="18"/>
                <w:szCs w:val="18"/>
              </w:rPr>
              <w:t>61.1</w:t>
            </w:r>
          </w:p>
        </w:tc>
        <w:tc>
          <w:tcPr>
            <w:vAlign w:val="center"/>
          </w:tcPr>
          <w:p>
            <w:r>
              <w:rPr>
                <w:sz w:val="18"/>
                <w:szCs w:val="18"/>
              </w:rPr>
              <w:t>50.3</w:t>
            </w:r>
          </w:p>
        </w:tc>
        <w:tc>
          <w:tcPr>
            <w:vMerge w:val="restart"/>
            <w:vAlign w:val="center"/>
          </w:tcPr>
          <w:p>
            <w:r>
              <w:rPr>
                <w:b/>
                <w:sz w:val="18"/>
                <w:szCs w:val="18"/>
              </w:rPr>
              <w:t>56</w:t>
            </w:r>
          </w:p>
        </w:tc>
        <w:tc>
          <w:tcPr>
            <w:vMerge w:val="restart"/>
            <w:vAlign w:val="center"/>
          </w:tcPr>
          <w:p>
            <w:r>
              <w:rPr>
                <w:sz w:val="18"/>
                <w:szCs w:val="18"/>
              </w:rPr>
              <w:t>低限:&lt;75,高要求:&lt;65</w:t>
            </w:r>
          </w:p>
        </w:tc>
        <w:tc>
          <w:tcPr>
            <w:vMerge w:val="restart"/>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c>
          <w:tcPr>
            <w:vAlign w:val="center"/>
          </w:tcPr>
          <w:p>
            <w:r>
              <w:rPr>
                <w:sz w:val="18"/>
                <w:szCs w:val="18"/>
              </w:rPr>
              <w:t>3.1</w:t>
            </w:r>
          </w:p>
        </w:tc>
        <w:tc>
          <w:tcPr>
            <w:vAlign w:val="center"/>
          </w:tcPr>
          <w:p>
            <w:r>
              <w:rPr>
                <w:sz w:val="18"/>
                <w:szCs w:val="18"/>
              </w:rPr>
              <w:t>5.3</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卧室的分户楼板</w:t>
            </w:r>
          </w:p>
        </w:tc>
        <w:tc>
          <w:tcPr>
            <w:vAlign w:val="center"/>
          </w:tcPr>
          <w:p>
            <w:r>
              <w:rPr>
                <w:sz w:val="18"/>
                <w:szCs w:val="18"/>
              </w:rPr>
              <w:t>54.8</w:t>
            </w:r>
          </w:p>
        </w:tc>
        <w:tc>
          <w:tcPr>
            <w:vAlign w:val="center"/>
          </w:tcPr>
          <w:p>
            <w:r>
              <w:rPr>
                <w:sz w:val="18"/>
                <w:szCs w:val="18"/>
              </w:rPr>
              <w:t>55.3</w:t>
            </w:r>
          </w:p>
        </w:tc>
        <w:tc>
          <w:tcPr>
            <w:vAlign w:val="center"/>
          </w:tcPr>
          <w:p>
            <w:r>
              <w:rPr>
                <w:sz w:val="18"/>
                <w:szCs w:val="18"/>
              </w:rPr>
              <w:t>59.4</w:t>
            </w:r>
          </w:p>
        </w:tc>
        <w:tc>
          <w:tcPr>
            <w:vAlign w:val="center"/>
          </w:tcPr>
          <w:p>
            <w:r>
              <w:rPr>
                <w:sz w:val="18"/>
                <w:szCs w:val="18"/>
              </w:rPr>
              <w:t>61.1</w:t>
            </w:r>
          </w:p>
        </w:tc>
        <w:tc>
          <w:tcPr>
            <w:vAlign w:val="center"/>
          </w:tcPr>
          <w:p>
            <w:r>
              <w:rPr>
                <w:sz w:val="18"/>
                <w:szCs w:val="18"/>
              </w:rPr>
              <w:t>50.3</w:t>
            </w:r>
          </w:p>
        </w:tc>
        <w:tc>
          <w:tcPr>
            <w:vMerge w:val="restart"/>
            <w:vAlign w:val="center"/>
          </w:tcPr>
          <w:p>
            <w:r>
              <w:rPr>
                <w:b/>
                <w:sz w:val="18"/>
                <w:szCs w:val="18"/>
              </w:rPr>
              <w:t>56</w:t>
            </w:r>
          </w:p>
        </w:tc>
        <w:tc>
          <w:tcPr>
            <w:vMerge w:val="restart"/>
            <w:vAlign w:val="center"/>
          </w:tcPr>
          <w:p>
            <w:r>
              <w:rPr>
                <w:sz w:val="18"/>
                <w:szCs w:val="18"/>
              </w:rPr>
              <w:t>低限:&lt;75,高要求:&lt;65</w:t>
            </w:r>
          </w:p>
        </w:tc>
        <w:tc>
          <w:tcPr>
            <w:vMerge w:val="restart"/>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c>
          <w:tcPr>
            <w:vAlign w:val="center"/>
          </w:tcPr>
          <w:p>
            <w:r>
              <w:rPr>
                <w:sz w:val="18"/>
                <w:szCs w:val="18"/>
              </w:rPr>
              <w:t>3.1</w:t>
            </w:r>
          </w:p>
        </w:tc>
        <w:tc>
          <w:tcPr>
            <w:vAlign w:val="center"/>
          </w:tcPr>
          <w:p>
            <w:r>
              <w:rPr>
                <w:sz w:val="18"/>
                <w:szCs w:val="18"/>
              </w:rPr>
              <w:t>5.3</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bl>
    <w:p>
      <w:pPr>
        <w:pStyle w:val="13"/>
        <w:ind w:left="210" w:firstLine="420" w:firstLineChars="0"/>
        <w:jc w:val="left"/>
        <w:rPr>
          <w:rFonts w:ascii="Times New Roman" w:hAnsi="Times New Roman" w:eastAsia="宋体"/>
          <w:kern w:val="0"/>
          <w:sz w:val="21"/>
          <w:szCs w:val="21"/>
          <w:lang w:val="en-GB"/>
        </w:rPr>
      </w:pPr>
      <w:bookmarkStart w:id="74" w:name="撞击声隔声"/>
      <w:bookmarkEnd w:id="74"/>
    </w:p>
    <w:bookmarkEnd w:id="25"/>
    <w:p>
      <w:pPr>
        <w:pStyle w:val="2"/>
        <w:rPr>
          <w:kern w:val="2"/>
        </w:rPr>
      </w:pPr>
      <w:bookmarkStart w:id="75" w:name="_Toc17523"/>
      <w:r>
        <w:rPr>
          <w:rFonts w:hint="eastAsia"/>
          <w:kern w:val="2"/>
        </w:rPr>
        <w:t>结论</w:t>
      </w:r>
      <w:bookmarkEnd w:id="75"/>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卧室墙</w:t>
            </w:r>
          </w:p>
        </w:tc>
        <w:tc>
          <w:tcPr>
            <w:vAlign w:val="center"/>
          </w:tcPr>
          <w:p>
            <w:r>
              <w:rPr>
                <w:b/>
              </w:rPr>
              <w:t>53</w:t>
            </w:r>
          </w:p>
        </w:tc>
        <w:tc>
          <w:tcPr>
            <w:vAlign w:val="center"/>
          </w:tcPr>
          <w:p>
            <w:r>
              <w:t>低限:≥35</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卧室外墙</w:t>
            </w:r>
          </w:p>
        </w:tc>
        <w:tc>
          <w:tcPr>
            <w:vAlign w:val="center"/>
          </w:tcPr>
          <w:p>
            <w:r>
              <w:rPr>
                <w:b/>
              </w:rPr>
              <w:t>50</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起居室外墙</w:t>
            </w:r>
          </w:p>
        </w:tc>
        <w:tc>
          <w:tcPr>
            <w:vAlign w:val="center"/>
          </w:tcPr>
          <w:p>
            <w:r>
              <w:rPr>
                <w:b/>
              </w:rPr>
              <w:t>50</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起居室墙</w:t>
            </w:r>
          </w:p>
        </w:tc>
        <w:tc>
          <w:tcPr>
            <w:vAlign w:val="center"/>
          </w:tcPr>
          <w:p>
            <w:r>
              <w:rPr>
                <w:b/>
              </w:rPr>
              <w:t>53</w:t>
            </w:r>
          </w:p>
        </w:tc>
        <w:tc>
          <w:tcPr>
            <w:vAlign w:val="center"/>
          </w:tcPr>
          <w:p>
            <w:r>
              <w:t>低限:≥30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分户楼板</w:t>
            </w:r>
          </w:p>
        </w:tc>
        <w:tc>
          <w:tcPr>
            <w:vAlign w:val="center"/>
          </w:tcPr>
          <w:p>
            <w:r>
              <w:rPr>
                <w:b/>
              </w:rPr>
              <w:t>53</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分隔住宅和非居住用途空间的楼板</w:t>
            </w:r>
          </w:p>
        </w:tc>
        <w:tc>
          <w:tcPr>
            <w:vAlign w:val="center"/>
          </w:tcPr>
          <w:p>
            <w:r>
              <w:rPr>
                <w:b/>
              </w:rPr>
              <w:t>52</w:t>
            </w:r>
          </w:p>
        </w:tc>
        <w:tc>
          <w:tcPr>
            <w:vAlign w:val="center"/>
          </w:tcPr>
          <w:p>
            <w:r>
              <w:t>低限:&gt;51</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住宅建筑中其他外窗</w:t>
            </w:r>
          </w:p>
        </w:tc>
        <w:tc>
          <w:tcPr>
            <w:vAlign w:val="center"/>
          </w:tcPr>
          <w:p>
            <w:r>
              <w:rPr>
                <w:b/>
              </w:rPr>
              <w:t>45</w:t>
            </w:r>
          </w:p>
        </w:tc>
        <w:tc>
          <w:tcPr>
            <w:vAlign w:val="center"/>
          </w:tcPr>
          <w:p>
            <w:r>
              <w:t>低限:≥25,高要求:≥30</w:t>
            </w:r>
          </w:p>
        </w:tc>
        <w:tc>
          <w:tcPr>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76" w:name="构件隔声性能统计"/>
      <w:bookmarkEnd w:id="76"/>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起居室的分户楼板</w:t>
            </w:r>
          </w:p>
        </w:tc>
        <w:tc>
          <w:tcPr>
            <w:vAlign w:val="center"/>
          </w:tcPr>
          <w:p>
            <w:r>
              <w:rPr>
                <w:b/>
              </w:rPr>
              <w:t>56</w:t>
            </w:r>
          </w:p>
        </w:tc>
        <w:tc>
          <w:tcPr>
            <w:vAlign w:val="center"/>
          </w:tcPr>
          <w:p>
            <w:r>
              <w:t>低限:&lt;75,高要求:&lt;65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卧室的分户楼板</w:t>
            </w:r>
          </w:p>
        </w:tc>
        <w:tc>
          <w:tcPr>
            <w:vAlign w:val="center"/>
          </w:tcPr>
          <w:p>
            <w:r>
              <w:rPr>
                <w:b/>
              </w:rPr>
              <w:t>56</w:t>
            </w:r>
          </w:p>
        </w:tc>
        <w:tc>
          <w:tcPr>
            <w:vAlign w:val="center"/>
          </w:tcPr>
          <w:p>
            <w:r>
              <w:t>低限:&lt;75,高要求:&lt;65</w:t>
            </w:r>
          </w:p>
        </w:tc>
        <w:tc>
          <w:tcPr>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77" w:name="撞击声隔声性能统计"/>
      <w:bookmarkEnd w:id="77"/>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shd w:val="clear" w:color="auto" w:fill="E6E6E6"/>
            <w:vAlign w:val="center"/>
          </w:tcPr>
          <w:p>
            <w:pPr>
              <w:jc w:val="center"/>
              <w:rPr>
                <w:b/>
              </w:rPr>
            </w:pPr>
            <w:r>
              <w:rPr>
                <w:b/>
              </w:rPr>
              <w:t>检查项</w:t>
            </w:r>
          </w:p>
        </w:tc>
        <w:tc>
          <w:tcPr>
            <w:tcW w:w="6279" w:type="dxa"/>
            <w:shd w:val="clear" w:color="auto" w:fill="E6E6E6"/>
          </w:tcPr>
          <w:p>
            <w:pPr>
              <w:jc w:val="center"/>
              <w:rPr>
                <w:b/>
              </w:rPr>
            </w:pPr>
            <w:r>
              <w:rPr>
                <w:rFonts w:hint="eastAsia"/>
                <w:b/>
              </w:rPr>
              <w:t>评价</w:t>
            </w:r>
            <w:r>
              <w:rPr>
                <w:b/>
              </w:rPr>
              <w:t>依据</w:t>
            </w:r>
          </w:p>
        </w:tc>
        <w:tc>
          <w:tcPr>
            <w:tcW w:w="867" w:type="dxa"/>
            <w:shd w:val="clear" w:color="auto" w:fill="E6E6E6"/>
            <w:vAlign w:val="center"/>
          </w:tcPr>
          <w:p>
            <w:pPr>
              <w:jc w:val="center"/>
              <w:rPr>
                <w:b/>
              </w:rPr>
            </w:pPr>
            <w:r>
              <w:rPr>
                <w:b/>
              </w:rPr>
              <w:t>结论</w:t>
            </w:r>
          </w:p>
        </w:tc>
        <w:tc>
          <w:tcPr>
            <w:tcW w:w="724"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shd w:val="clear" w:color="auto" w:fill="E6E6E6"/>
            <w:vAlign w:val="center"/>
          </w:tcPr>
          <w:p>
            <w:pPr>
              <w:jc w:val="center"/>
              <w:rPr>
                <w:b/>
              </w:rPr>
            </w:pPr>
            <w:r>
              <w:rPr>
                <w:rFonts w:hint="eastAsia"/>
                <w:b/>
              </w:rPr>
              <w:t>空气声隔声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78" w:name="空气声控制项结论"/>
            <w:r>
              <w:rPr>
                <w:rFonts w:hint="eastAsia" w:ascii="宋体" w:hAnsi="宋体"/>
                <w:kern w:val="2"/>
                <w:szCs w:val="21"/>
                <w:lang w:val="en-US"/>
              </w:rPr>
              <w:t>满足</w:t>
            </w:r>
            <w:bookmarkEnd w:id="78"/>
          </w:p>
        </w:tc>
        <w:tc>
          <w:tcPr>
            <w:tcW w:w="724"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rPr>
                <w:b/>
              </w:rP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67" w:type="dxa"/>
            <w:vAlign w:val="center"/>
          </w:tcPr>
          <w:p>
            <w:pPr>
              <w:jc w:val="center"/>
              <w:rPr>
                <w:rFonts w:ascii="宋体" w:hAnsi="宋体"/>
                <w:kern w:val="2"/>
                <w:szCs w:val="21"/>
                <w:lang w:val="en-US"/>
              </w:rPr>
            </w:pPr>
            <w:bookmarkStart w:id="79" w:name="空气声评分项结论"/>
            <w:r>
              <w:rPr>
                <w:rFonts w:hint="eastAsia" w:ascii="宋体" w:hAnsi="宋体"/>
                <w:kern w:val="2"/>
                <w:szCs w:val="21"/>
                <w:lang w:val="en-US"/>
              </w:rPr>
              <w:t>满足高要求</w:t>
            </w:r>
            <w:bookmarkEnd w:id="79"/>
          </w:p>
        </w:tc>
        <w:tc>
          <w:tcPr>
            <w:tcW w:w="724" w:type="dxa"/>
            <w:vAlign w:val="center"/>
          </w:tcPr>
          <w:p>
            <w:pPr>
              <w:jc w:val="center"/>
              <w:rPr>
                <w:rFonts w:ascii="宋体" w:hAnsi="宋体"/>
                <w:kern w:val="2"/>
                <w:szCs w:val="21"/>
                <w:lang w:val="en-US"/>
              </w:rPr>
            </w:pPr>
            <w:bookmarkStart w:id="80" w:name="空气声得分"/>
            <w:r>
              <w:rPr>
                <w:rFonts w:hint="eastAsia" w:ascii="宋体" w:hAnsi="宋体"/>
                <w:kern w:val="2"/>
                <w:szCs w:val="21"/>
                <w:lang w:val="en-US"/>
              </w:rPr>
              <w:t>5</w:t>
            </w:r>
            <w:bookmarkEnd w:id="80"/>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shd w:val="clear" w:color="auto" w:fill="E6E6E6"/>
            <w:vAlign w:val="center"/>
          </w:tcPr>
          <w:p>
            <w:pPr>
              <w:jc w:val="center"/>
              <w:rPr>
                <w:b/>
              </w:rPr>
            </w:pPr>
            <w:r>
              <w:rPr>
                <w:rFonts w:hint="eastAsia"/>
                <w:b/>
              </w:rPr>
              <w:t>撞击声隔声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81" w:name="撞击声控制项结论"/>
            <w:r>
              <w:rPr>
                <w:rFonts w:hint="eastAsia" w:ascii="宋体" w:hAnsi="宋体"/>
                <w:kern w:val="2"/>
                <w:szCs w:val="21"/>
                <w:lang w:val="en-US"/>
              </w:rPr>
              <w:t>满足</w:t>
            </w:r>
            <w:bookmarkEnd w:id="81"/>
          </w:p>
        </w:tc>
        <w:tc>
          <w:tcPr>
            <w:tcW w:w="724"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67" w:type="dxa"/>
            <w:vAlign w:val="center"/>
          </w:tcPr>
          <w:p>
            <w:pPr>
              <w:jc w:val="center"/>
              <w:rPr>
                <w:rFonts w:ascii="宋体" w:hAnsi="宋体"/>
                <w:kern w:val="2"/>
                <w:szCs w:val="21"/>
                <w:lang w:val="en-US"/>
              </w:rPr>
            </w:pPr>
            <w:bookmarkStart w:id="82" w:name="撞击声评分项结论"/>
            <w:r>
              <w:rPr>
                <w:rFonts w:hint="eastAsia" w:ascii="宋体" w:hAnsi="宋体"/>
                <w:kern w:val="2"/>
                <w:szCs w:val="21"/>
                <w:lang w:val="en-US"/>
              </w:rPr>
              <w:t>满足高要求</w:t>
            </w:r>
            <w:bookmarkEnd w:id="82"/>
          </w:p>
        </w:tc>
        <w:tc>
          <w:tcPr>
            <w:tcW w:w="724" w:type="dxa"/>
            <w:vAlign w:val="center"/>
          </w:tcPr>
          <w:p>
            <w:pPr>
              <w:jc w:val="center"/>
              <w:rPr>
                <w:rFonts w:ascii="宋体" w:hAnsi="宋体"/>
                <w:kern w:val="2"/>
                <w:szCs w:val="21"/>
                <w:lang w:val="en-US"/>
              </w:rPr>
            </w:pPr>
            <w:bookmarkStart w:id="83" w:name="撞击声得分"/>
            <w:r>
              <w:rPr>
                <w:rFonts w:hint="eastAsia" w:ascii="宋体" w:hAnsi="宋体"/>
                <w:kern w:val="2"/>
                <w:szCs w:val="21"/>
                <w:lang w:val="en-US"/>
              </w:rPr>
              <w:t>5</w:t>
            </w:r>
            <w:bookmarkEnd w:id="83"/>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6FF" w:usb1="420024FF" w:usb2="02000000" w:usb3="00000000" w:csb0="2000019F" w:csb1="00000000"/>
  </w:font>
  <w:font w:name="Dotum">
    <w:altName w:val="思源黑體 Medium"/>
    <w:panose1 w:val="020B0600000101010101"/>
    <w:charset w:val="81"/>
    <w:family w:val="swiss"/>
    <w:pitch w:val="default"/>
    <w:sig w:usb0="00000000" w:usb1="00000000" w:usb2="00000030" w:usb3="00000000" w:csb0="0008009F" w:csb1="00000000"/>
  </w:font>
  <w:font w:name="思源黑體 Medium">
    <w:panose1 w:val="020B0600000000000000"/>
    <w:charset w:val="88"/>
    <w:family w:val="auto"/>
    <w:pitch w:val="default"/>
    <w:sig w:usb0="3000000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AAD201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rPr>
      <w:sz w:val="18"/>
      <w:szCs w:val="18"/>
    </w:rPr>
  </w:style>
  <w:style w:type="paragraph" w:styleId="16">
    <w:name w:val="footer"/>
    <w:basedOn w:val="1"/>
    <w:qFormat/>
    <w:uiPriority w:val="0"/>
    <w:pPr>
      <w:tabs>
        <w:tab w:val="center" w:pos="4153"/>
        <w:tab w:val="right" w:pos="8306"/>
      </w:tabs>
      <w:snapToGrid w:val="0"/>
    </w:pPr>
    <w:rPr>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标题 1 字符"/>
    <w:link w:val="2"/>
    <w:qFormat/>
    <w:uiPriority w:val="9"/>
    <w:rPr>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4.bin"/><Relationship Id="rId58" Type="http://schemas.openxmlformats.org/officeDocument/2006/relationships/oleObject" Target="embeddings/oleObject23.bin"/><Relationship Id="rId57" Type="http://schemas.openxmlformats.org/officeDocument/2006/relationships/oleObject" Target="embeddings/oleObject22.bin"/><Relationship Id="rId56" Type="http://schemas.openxmlformats.org/officeDocument/2006/relationships/image" Target="media/image28.wmf"/><Relationship Id="rId55" Type="http://schemas.openxmlformats.org/officeDocument/2006/relationships/oleObject" Target="embeddings/oleObject21.bin"/><Relationship Id="rId54" Type="http://schemas.openxmlformats.org/officeDocument/2006/relationships/oleObject" Target="embeddings/oleObject20.bin"/><Relationship Id="rId53" Type="http://schemas.openxmlformats.org/officeDocument/2006/relationships/image" Target="media/image27.wmf"/><Relationship Id="rId52" Type="http://schemas.openxmlformats.org/officeDocument/2006/relationships/oleObject" Target="embeddings/oleObject19.bin"/><Relationship Id="rId51" Type="http://schemas.openxmlformats.org/officeDocument/2006/relationships/oleObject" Target="embeddings/oleObject18.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7.bin"/><Relationship Id="rId47" Type="http://schemas.openxmlformats.org/officeDocument/2006/relationships/image" Target="media/image24.wmf"/><Relationship Id="rId46" Type="http://schemas.openxmlformats.org/officeDocument/2006/relationships/oleObject" Target="embeddings/oleObject16.bin"/><Relationship Id="rId45" Type="http://schemas.openxmlformats.org/officeDocument/2006/relationships/image" Target="media/image23.wmf"/><Relationship Id="rId44" Type="http://schemas.openxmlformats.org/officeDocument/2006/relationships/oleObject" Target="embeddings/oleObject15.bin"/><Relationship Id="rId43" Type="http://schemas.openxmlformats.org/officeDocument/2006/relationships/image" Target="media/image22.wmf"/><Relationship Id="rId42" Type="http://schemas.openxmlformats.org/officeDocument/2006/relationships/oleObject" Target="embeddings/oleObject14.bin"/><Relationship Id="rId41" Type="http://schemas.openxmlformats.org/officeDocument/2006/relationships/image" Target="media/image21.wmf"/><Relationship Id="rId40" Type="http://schemas.openxmlformats.org/officeDocument/2006/relationships/oleObject" Target="embeddings/oleObject13.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2.bin"/><Relationship Id="rId37" Type="http://schemas.openxmlformats.org/officeDocument/2006/relationships/image" Target="media/image19.wmf"/><Relationship Id="rId36" Type="http://schemas.openxmlformats.org/officeDocument/2006/relationships/oleObject" Target="embeddings/oleObject11.bin"/><Relationship Id="rId35" Type="http://schemas.openxmlformats.org/officeDocument/2006/relationships/image" Target="media/image18.wmf"/><Relationship Id="rId34" Type="http://schemas.openxmlformats.org/officeDocument/2006/relationships/oleObject" Target="embeddings/oleObject10.bin"/><Relationship Id="rId33" Type="http://schemas.openxmlformats.org/officeDocument/2006/relationships/image" Target="media/image17.emf"/><Relationship Id="rId32" Type="http://schemas.openxmlformats.org/officeDocument/2006/relationships/oleObject" Target="embeddings/Microsoft_Visio_2003-2010___2.vsd"/><Relationship Id="rId31" Type="http://schemas.openxmlformats.org/officeDocument/2006/relationships/image" Target="media/image16.emf"/><Relationship Id="rId30" Type="http://schemas.openxmlformats.org/officeDocument/2006/relationships/oleObject" Target="embeddings/Microsoft_Visio_2003-2010___1.vsd"/><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建筑构件隔声设计报告书.dotx</Template>
  <Company>ths</Company>
  <Pages>1</Pages>
  <Words>1287</Words>
  <Characters>7340</Characters>
  <Lines>61</Lines>
  <Paragraphs>17</Paragraphs>
  <TotalTime>0</TotalTime>
  <ScaleCrop>false</ScaleCrop>
  <LinksUpToDate>false</LinksUpToDate>
  <CharactersWithSpaces>8610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2018-03-05T09:23:00Z</dcterms:created>
  <dc:creator>jinj</dc:creator>
  <cp:lastModifiedBy>皎念</cp:lastModifiedBy>
  <cp:lastPrinted>1900-12-31T16:00:00Z</cp:lastPrinted>
  <dcterms:modified xsi:type="dcterms:W3CDTF">2022-01-04T16:29:48Z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7317F524026E46268DF5B91BC866104D</vt:lpwstr>
  </property>
</Properties>
</file>