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7.1.8 不应</w:t>
      </w:r>
      <w:r>
        <w:rPr>
          <w:sz w:val="24"/>
          <w:szCs w:val="40"/>
        </w:rPr>
        <w:t>采用建筑形体和布置严重不规则的建筑结构</w:t>
      </w:r>
      <w:r>
        <w:rPr>
          <w:rFonts w:hint="eastAsia"/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51869458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769698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 w:cs="宋体"/>
        </w:rPr>
        <w:t xml:space="preserve">建筑形体属于 </w:t>
      </w:r>
      <w:sdt>
        <w:sdtPr>
          <w:rPr>
            <w:rFonts w:hint="eastAsia"/>
            <w:sz w:val="28"/>
          </w:rPr>
          <w:id w:val="-112738617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规则  </w:t>
      </w:r>
      <w:sdt>
        <w:sdtPr>
          <w:rPr>
            <w:rFonts w:hint="eastAsia"/>
            <w:sz w:val="28"/>
          </w:rPr>
          <w:id w:val="125847923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不规则  </w:t>
      </w:r>
      <w:sdt>
        <w:sdtPr>
          <w:rPr>
            <w:rFonts w:hint="eastAsia"/>
            <w:sz w:val="28"/>
          </w:rPr>
          <w:id w:val="-183167676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特别不规则  </w:t>
      </w:r>
      <w:sdt>
        <w:sdtPr>
          <w:rPr>
            <w:rFonts w:hint="eastAsia"/>
            <w:sz w:val="28"/>
          </w:rPr>
          <w:id w:val="-39489369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严重不规则</w:t>
      </w:r>
    </w:p>
    <w:p>
      <w:pPr>
        <w:rPr>
          <w:lang w:val="zh-CN"/>
        </w:rPr>
      </w:pPr>
      <w:r>
        <w:rPr>
          <w:rFonts w:hint="eastAsia" w:cs="宋体"/>
        </w:rPr>
        <w:t>不规则建筑形体判断：</w:t>
      </w:r>
    </w:p>
    <w:p>
      <w:pPr>
        <w:rPr>
          <w:rFonts w:cs="宋体"/>
        </w:rPr>
      </w:pPr>
      <w:r>
        <w:rPr>
          <w:rFonts w:hint="eastAsia"/>
          <w:b/>
          <w:bCs/>
          <w:lang w:val="zh-CN"/>
        </w:rPr>
        <w:t xml:space="preserve"> </w:t>
      </w:r>
      <w:r>
        <w:rPr>
          <w:rFonts w:hint="eastAsia" w:cs="宋体"/>
        </w:rPr>
        <w:t xml:space="preserve"> a）平面不规则类型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6058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058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85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扭转不规则</w:t>
            </w:r>
          </w:p>
        </w:tc>
        <w:tc>
          <w:tcPr>
            <w:tcW w:w="6058" w:type="dxa"/>
          </w:tcPr>
          <w:p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在规定的水平力作用下，楼层的最大弹性水平位移或（层间位移），大于该楼层两端弹性水平位移（或层间位移）平均值的1.2倍</w:t>
            </w:r>
          </w:p>
        </w:tc>
        <w:sdt>
          <w:sdtPr>
            <w:rPr>
              <w:b/>
              <w:bCs/>
              <w:lang w:val="zh-CN"/>
            </w:rPr>
            <w:id w:val="-1084069076"/>
            <w:placeholder>
              <w:docPart w:val="C320855BD0C748C4A04E07A122C85660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凹凸不规则</w:t>
            </w:r>
          </w:p>
        </w:tc>
        <w:tc>
          <w:tcPr>
            <w:tcW w:w="6058" w:type="dxa"/>
          </w:tcPr>
          <w:p>
            <w:pPr>
              <w:spacing w:line="288" w:lineRule="auto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平面凹进的尺寸，大于相应投影方向总尺寸的30%</w:t>
            </w:r>
          </w:p>
        </w:tc>
        <w:sdt>
          <w:sdtPr>
            <w:rPr>
              <w:b/>
              <w:bCs/>
              <w:lang w:val="zh-CN"/>
            </w:rPr>
            <w:id w:val="-1836751118"/>
            <w:placeholder>
              <w:docPart w:val="E672D673A58A4F2CA03C3D7C7627C04C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058" w:type="dxa"/>
          </w:tcPr>
          <w:p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楼板的尺寸和平面刚度急剧变化，例如，有效楼板宽度小于该层楼板典型宽度的50%，或开洞面积大于该层楼面面积的30%，或较大的楼层错层。</w:t>
            </w:r>
          </w:p>
        </w:tc>
        <w:sdt>
          <w:sdtPr>
            <w:rPr>
              <w:b/>
              <w:bCs/>
              <w:lang w:val="zh-CN"/>
            </w:rPr>
            <w:id w:val="-1709942232"/>
            <w:placeholder>
              <w:docPart w:val="B77A38F71748464B8C9F62E7B0265A29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</w:tbl>
    <w:p>
      <w:pPr>
        <w:ind w:firstLine="210" w:firstLineChars="100"/>
        <w:rPr>
          <w:rFonts w:cs="宋体"/>
        </w:rPr>
      </w:pPr>
      <w:r>
        <w:rPr>
          <w:rFonts w:hint="eastAsia" w:cs="宋体"/>
        </w:rPr>
        <w:t>b）竖向不规则类型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237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237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51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侧向刚度不规则</w:t>
            </w:r>
          </w:p>
        </w:tc>
        <w:tc>
          <w:tcPr>
            <w:tcW w:w="6237" w:type="dxa"/>
          </w:tcPr>
          <w:p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该层的侧向刚度小于相邻上一层的70%，或小于其上相邻三个楼层侧向刚度平均值的80%；除顶层或出屋面小建筑外，局部收进的水平向尺寸大于相邻下一层的25%</w:t>
            </w:r>
          </w:p>
        </w:tc>
        <w:sdt>
          <w:sdtPr>
            <w:rPr>
              <w:b/>
              <w:bCs/>
              <w:lang w:val="zh-CN"/>
            </w:rPr>
            <w:id w:val="-1238711854"/>
            <w:placeholder>
              <w:docPart w:val="7FB8D31D7B0F4CA89E3122CCC8C21DE7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竖向抗侧力构件不连续</w:t>
            </w:r>
          </w:p>
        </w:tc>
        <w:tc>
          <w:tcPr>
            <w:tcW w:w="6237" w:type="dxa"/>
          </w:tcPr>
          <w:p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竖向抗侧力构件（柱、抗震墙、抗震支撑）的内力由水平转换构件（梁、桁架等）向下传递</w:t>
            </w:r>
          </w:p>
        </w:tc>
        <w:sdt>
          <w:sdtPr>
            <w:rPr>
              <w:b/>
              <w:bCs/>
              <w:lang w:val="zh-CN"/>
            </w:rPr>
            <w:id w:val="-960031325"/>
            <w:placeholder>
              <w:docPart w:val="49D6AC55C2A64561897DF3DDDE7F32FE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237" w:type="dxa"/>
          </w:tcPr>
          <w:p>
            <w:pPr>
              <w:spacing w:line="288" w:lineRule="auto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抗侧力结构的层间受剪承载力小于相邻上一楼层的80%</w:t>
            </w:r>
          </w:p>
        </w:tc>
        <w:sdt>
          <w:sdtPr>
            <w:rPr>
              <w:b/>
              <w:bCs/>
              <w:lang w:val="zh-CN"/>
            </w:rPr>
            <w:id w:val="2134981425"/>
            <w:placeholder>
              <w:docPart w:val="1C1CBDDBA784441480C428E6B243C3DB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1）建筑、结构专业竣工图及设计说明；</w:t>
      </w:r>
    </w:p>
    <w:p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）建筑形体规则性判定报告、结构专项论证报告。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85"/>
    <w:rsid w:val="00074A38"/>
    <w:rsid w:val="0037111D"/>
    <w:rsid w:val="00702C85"/>
    <w:rsid w:val="009332D1"/>
    <w:rsid w:val="009E1F15"/>
    <w:rsid w:val="00BC466A"/>
    <w:rsid w:val="4F06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320855BD0C748C4A04E07A122C856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731775-A9AF-4269-80BB-89F596664AC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E672D673A58A4F2CA03C3D7C7627C0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04F333-B578-4333-A434-443EEB649A1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B77A38F71748464B8C9F62E7B0265A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9B250F-3BEB-4345-B323-32821BAD508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FB8D31D7B0F4CA89E3122CCC8C21D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210E46-7D2D-41BC-9328-0DFAFE6CC118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9D6AC55C2A64561897DF3DDDE7F32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B2FE9B-6EF8-4B97-B34F-DDBEA62A6D81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C1CBDDBA784441480C428E6B243C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C0B293-5894-42A3-8193-92477429D284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00A"/>
    <w:rsid w:val="002B000A"/>
    <w:rsid w:val="004C1495"/>
    <w:rsid w:val="006E70AE"/>
    <w:rsid w:val="0089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320855BD0C748C4A04E07A122C8566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672D673A58A4F2CA03C3D7C7627C0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77A38F71748464B8C9F62E7B0265A2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FB8D31D7B0F4CA89E3122CCC8C21D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49D6AC55C2A64561897DF3DDDE7F32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C1CBDDBA784441480C428E6B243C3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EC4FA643CFF4CFB8531A48F28EA690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518</Characters>
  <Lines>4</Lines>
  <Paragraphs>1</Paragraphs>
  <TotalTime>5</TotalTime>
  <ScaleCrop>false</ScaleCrop>
  <LinksUpToDate>false</LinksUpToDate>
  <CharactersWithSpaces>607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未知好友</cp:lastModifiedBy>
  <dcterms:modified xsi:type="dcterms:W3CDTF">2022-02-28T16:28:47Z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6DFC1BCF47D94377BF197A6FC6721474</vt:lpwstr>
  </property>
</Properties>
</file>