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/>
          <w:b/>
          <w:bCs/>
          <w:sz w:val="32"/>
          <w:szCs w:val="3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2022年3月12日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T18057089335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0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_Toc11138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_Toc21246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_Toc29881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_Toc31922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_Toc6293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_Toc7183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_Toc7183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_Toc19409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_Toc11945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_Toc3508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_Toc3508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_Toc18462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_Toc18462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_Toc27224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_Toc27224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_Toc19756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_Toc19756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_Toc23894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_Toc856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_Toc19586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_Toc17252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_Toc7119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_Toc7119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_Toc32457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_Toc26334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_Toc26334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_Toc14982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_Toc14982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_Toc7943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_Toc7943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_Toc2435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_Toc2435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_Toc7874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_Toc19168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_Toc1316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_Toc21482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_Toc21482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_Toc662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_Toc10891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_Toc18414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_Toc23666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_Toc23666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_Toc5002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_Toc8266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_Toc8266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_Toc29734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_Toc29734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_Toc6570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_Toc22404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_Toc7604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_Toc7604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_Toc27417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113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30.23°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120.17°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1406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13.0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4687.35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1544.95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供冷期:7.14-8.31,供暖期:11.30-1.28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21246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8947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29881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31922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杭州, 《建筑节能气象参数标准》</w:t>
      </w:r>
    </w:p>
    <w:p>
      <w:pPr>
        <w:pStyle w:val="4"/>
      </w:pPr>
      <w:bookmarkStart w:id="43" w:name="_Toc26152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6293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718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08月04日15时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19.1</w:t>
            </w:r>
          </w:p>
        </w:tc>
        <w:tc>
          <w:tcPr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-6.7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48" w:name="_Toc19409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11945"/>
      <w: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0.32(D:5.43)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0.09(D:5.84)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1" w:name="_Toc3508"/>
      <w:r>
        <w:t>房间类型</w:t>
      </w:r>
      <w:bookmarkEnd w:id="51"/>
    </w:p>
    <w:p>
      <w:pPr>
        <w:pStyle w:val="4"/>
        <w:widowControl w:val="0"/>
        <w:jc w:val="both"/>
      </w:pPr>
      <w:bookmarkStart w:id="52" w:name="_Toc9"/>
      <w:r>
        <w:t>房间表</w:t>
      </w:r>
      <w:bookmarkEnd w:id="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</w:pPr>
      <w:bookmarkStart w:id="53" w:name="_Toc18462"/>
      <w:r>
        <w:t>作息时间表</w:t>
      </w:r>
      <w:bookmarkEnd w:id="53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4" w:name="_Toc27224"/>
      <w:r>
        <w:t>暖通空调系统</w:t>
      </w:r>
      <w:bookmarkEnd w:id="54"/>
    </w:p>
    <w:p>
      <w:pPr>
        <w:pStyle w:val="4"/>
        <w:widowControl w:val="0"/>
        <w:jc w:val="both"/>
      </w:pPr>
      <w:bookmarkStart w:id="55" w:name="_Toc19756"/>
      <w:r>
        <w:t>系统类型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601.97</w:t>
            </w:r>
          </w:p>
        </w:tc>
        <w:tc>
          <w:tcPr>
            <w:vAlign w:val="center"/>
          </w:tcPr>
          <w:p>
            <w:r>
              <w:t>1003(1),1009(1),1010(1),1011(1),1012(1),1015(1),1002(1),1005(1),1014(1),1006(1),1013(1),1004(1),2009(2),2008(2),2007(2),2003(2),2002(2),3009(3),3008(3),3007(3),3003(3),3002(3)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669.45</w:t>
            </w:r>
          </w:p>
        </w:tc>
        <w:tc>
          <w:tcPr>
            <w:vAlign w:val="center"/>
          </w:tcPr>
          <w:p>
            <w:r>
              <w:t>1001(1),2011(2),2010(2),2004(2),2001(2),3011(3),3010(3),3004(3),3001(3)</w:t>
            </w:r>
          </w:p>
        </w:tc>
      </w:tr>
    </w:tbl>
    <w:p>
      <w:pPr>
        <w:pStyle w:val="4"/>
        <w:widowControl w:val="0"/>
        <w:jc w:val="both"/>
      </w:pPr>
      <w:bookmarkStart w:id="56" w:name="_Toc23894"/>
      <w:r>
        <w:t>制冷系统</w:t>
      </w:r>
      <w:bookmarkEnd w:id="56"/>
    </w:p>
    <w:p>
      <w:pPr>
        <w:pStyle w:val="5"/>
        <w:widowControl w:val="0"/>
        <w:jc w:val="both"/>
      </w:pPr>
      <w:bookmarkStart w:id="57" w:name="_Toc856"/>
      <w:r>
        <w:t>多联机/单元式空调能耗</w:t>
      </w:r>
      <w:bookmarkEnd w:id="5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23037</w:t>
            </w:r>
          </w:p>
        </w:tc>
        <w:tc>
          <w:tcPr>
            <w:vAlign w:val="center"/>
          </w:tcPr>
          <w:p>
            <w:r>
              <w:t>3839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26928</w:t>
            </w:r>
          </w:p>
        </w:tc>
        <w:tc>
          <w:tcPr>
            <w:vAlign w:val="center"/>
          </w:tcPr>
          <w:p>
            <w:r>
              <w:t>4488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49965</w:t>
            </w:r>
          </w:p>
        </w:tc>
        <w:tc>
          <w:tcPr>
            <w:vAlign w:val="center"/>
          </w:tcPr>
          <w:p>
            <w:r>
              <w:t>8327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293</w:t>
            </w:r>
          </w:p>
        </w:tc>
      </w:tr>
    </w:tbl>
    <w:p>
      <w:pPr>
        <w:pStyle w:val="4"/>
        <w:widowControl w:val="0"/>
        <w:jc w:val="both"/>
      </w:pPr>
      <w:bookmarkStart w:id="58" w:name="_Toc19586"/>
      <w:r>
        <w:t>供暖系统</w:t>
      </w:r>
      <w:bookmarkEnd w:id="58"/>
    </w:p>
    <w:p>
      <w:pPr>
        <w:pStyle w:val="5"/>
        <w:widowControl w:val="0"/>
        <w:jc w:val="both"/>
      </w:pPr>
      <w:bookmarkStart w:id="59" w:name="_Toc17252"/>
      <w:r>
        <w:t>多联机/单元式热泵能耗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2551</w:t>
            </w:r>
          </w:p>
        </w:tc>
        <w:tc>
          <w:tcPr>
            <w:vAlign w:val="center"/>
          </w:tcPr>
          <w:p>
            <w:r>
              <w:t>638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2613</w:t>
            </w:r>
          </w:p>
        </w:tc>
        <w:tc>
          <w:tcPr>
            <w:vAlign w:val="center"/>
          </w:tcPr>
          <w:p>
            <w:r>
              <w:t>653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5164</w:t>
            </w:r>
          </w:p>
        </w:tc>
        <w:tc>
          <w:tcPr>
            <w:vAlign w:val="center"/>
          </w:tcPr>
          <w:p>
            <w:r>
              <w:t>1291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45</w:t>
            </w:r>
          </w:p>
        </w:tc>
      </w:tr>
    </w:tbl>
    <w:p>
      <w:pPr>
        <w:pStyle w:val="4"/>
        <w:widowControl w:val="0"/>
        <w:jc w:val="both"/>
      </w:pPr>
      <w:bookmarkStart w:id="60" w:name="_Toc7119"/>
      <w:r>
        <w:t>空调风机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4524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159</w:t>
            </w:r>
          </w:p>
        </w:tc>
      </w:tr>
    </w:tbl>
    <w:p>
      <w:pPr>
        <w:pStyle w:val="2"/>
        <w:widowControl w:val="0"/>
        <w:jc w:val="both"/>
      </w:pPr>
      <w:bookmarkStart w:id="61" w:name="_Toc32457"/>
      <w:r>
        <w:t>照明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1325</w:t>
            </w:r>
          </w:p>
        </w:tc>
        <w:tc>
          <w:tcPr>
            <w:vAlign w:val="center"/>
          </w:tcPr>
          <w:p>
            <w:r>
              <w:t>20033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705</w:t>
            </w:r>
          </w:p>
        </w:tc>
      </w:tr>
    </w:tbl>
    <w:p>
      <w:pPr>
        <w:pStyle w:val="2"/>
        <w:widowControl w:val="0"/>
        <w:jc w:val="both"/>
      </w:pPr>
      <w:bookmarkStart w:id="62" w:name="_Toc26334"/>
      <w:r>
        <w:t>插座设备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1325</w:t>
            </w:r>
          </w:p>
        </w:tc>
        <w:tc>
          <w:tcPr>
            <w:vAlign w:val="center"/>
          </w:tcPr>
          <w:p>
            <w:r>
              <w:t>46705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1643</w:t>
            </w:r>
          </w:p>
        </w:tc>
      </w:tr>
    </w:tbl>
    <w:p>
      <w:pPr>
        <w:pStyle w:val="2"/>
        <w:widowControl w:val="0"/>
        <w:jc w:val="both"/>
      </w:pPr>
      <w:bookmarkStart w:id="63" w:name="_Toc14982"/>
      <w:r>
        <w:t>排风机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36500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1284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4" w:name="_Toc7943"/>
      <w:r>
        <w:t>生活热水</w:t>
      </w:r>
      <w:bookmarkEnd w:id="64"/>
    </w:p>
    <w:p>
      <w:pPr>
        <w:widowControl w:val="0"/>
        <w:jc w:val="both"/>
      </w:pPr>
      <w:r>
        <w:t>热水温差(℃)：30, 日照辐照量(kJ/㎡.天)：16340，年运行天数：365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2373.39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2373.39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2373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2373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2373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2373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167</w:t>
            </w:r>
          </w:p>
        </w:tc>
      </w:tr>
    </w:tbl>
    <w:p/>
    <w:p>
      <w:pPr>
        <w:pStyle w:val="2"/>
        <w:widowControl w:val="0"/>
        <w:jc w:val="both"/>
      </w:pPr>
      <w:bookmarkStart w:id="65" w:name="_Toc2435"/>
      <w:r>
        <w:t>电梯</w:t>
      </w:r>
      <w:bookmarkEnd w:id="65"/>
    </w:p>
    <w:p>
      <w:pPr>
        <w:pStyle w:val="4"/>
        <w:widowControl w:val="0"/>
        <w:jc w:val="both"/>
      </w:pPr>
      <w:bookmarkStart w:id="66" w:name="_Toc7874"/>
      <w:r>
        <w:t>直梯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11953</w:t>
            </w:r>
          </w:p>
        </w:tc>
      </w:tr>
    </w:tbl>
    <w:p>
      <w:pPr>
        <w:pStyle w:val="4"/>
        <w:widowControl w:val="0"/>
        <w:jc w:val="both"/>
      </w:pPr>
      <w:bookmarkStart w:id="67" w:name="_Toc19168"/>
      <w:r>
        <w:t>电梯碳排放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11953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420</w:t>
            </w:r>
          </w:p>
        </w:tc>
      </w:tr>
    </w:tbl>
    <w:p>
      <w:pPr>
        <w:pStyle w:val="2"/>
        <w:widowControl w:val="0"/>
        <w:jc w:val="both"/>
      </w:pPr>
      <w:bookmarkStart w:id="68" w:name="_Toc1316"/>
      <w:r>
        <w:t>光伏发电</w:t>
      </w:r>
      <w:bookmarkEnd w:id="68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477128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16783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16783</w:t>
            </w:r>
          </w:p>
        </w:tc>
      </w:tr>
    </w:tbl>
    <w:p>
      <w:pPr>
        <w:pStyle w:val="2"/>
        <w:widowControl w:val="0"/>
        <w:jc w:val="both"/>
      </w:pPr>
      <w:bookmarkStart w:id="69" w:name="_Toc21482"/>
      <w:r>
        <w:t>风力发电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平均高度超过15m的建筑占15%面积以上的市区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</w:tbl>
    <w:p>
      <w:pPr>
        <w:pStyle w:val="2"/>
        <w:widowControl w:val="0"/>
        <w:jc w:val="both"/>
      </w:pPr>
      <w:bookmarkStart w:id="70" w:name="_Toc662"/>
      <w:r>
        <w:t>计算结果</w:t>
      </w:r>
      <w:bookmarkEnd w:id="70"/>
    </w:p>
    <w:p>
      <w:pPr>
        <w:pStyle w:val="4"/>
        <w:widowControl w:val="0"/>
        <w:jc w:val="both"/>
      </w:pPr>
      <w:bookmarkStart w:id="71" w:name="_Toc10891"/>
      <w:r>
        <w:t>建材生产运输碳排放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C30混凝土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C50混凝土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</w:t>
            </w:r>
          </w:p>
        </w:tc>
        <w:tc>
          <w:tcPr>
            <w:vAlign w:val="center"/>
          </w:tcPr>
          <w:p>
            <w:r>
              <w:t>天然石膏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vAlign w:val="center"/>
          </w:tcPr>
          <w:p>
            <w:r>
              <w:t>热轧碳钢钢筋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vAlign w:val="center"/>
          </w:tcPr>
          <w:p>
            <w:r>
              <w:t>断桥铝合金窗(原生铝:再生铝=7:3)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无规共聚聚丙烯管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板材</w:t>
            </w:r>
          </w:p>
        </w:tc>
        <w:tc>
          <w:tcPr>
            <w:vAlign w:val="center"/>
          </w:tcPr>
          <w:p>
            <w:r>
              <w:t>铝塑复合板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</w:t>
            </w:r>
          </w:p>
        </w:tc>
        <w:tc>
          <w:tcPr>
            <w:vAlign w:val="center"/>
          </w:tcPr>
          <w:p>
            <w:r>
              <w:t>自来水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530</w:t>
            </w:r>
          </w:p>
        </w:tc>
      </w:tr>
    </w:tbl>
    <w:p>
      <w:pPr>
        <w:pStyle w:val="4"/>
        <w:widowControl w:val="0"/>
        <w:jc w:val="both"/>
      </w:pPr>
      <w:bookmarkStart w:id="72" w:name="_Toc18414"/>
      <w:r>
        <w:t>建筑建造拆除碳排放</w:t>
      </w:r>
      <w:bookmarkEnd w:id="72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</w:tbl>
    <w:p>
      <w:pPr>
        <w:pStyle w:val="4"/>
        <w:widowControl w:val="0"/>
        <w:jc w:val="both"/>
      </w:pPr>
      <w:bookmarkStart w:id="73" w:name="_Toc23666"/>
      <w:r>
        <w:t>碳汇</w:t>
      </w:r>
      <w:bookmarkEnd w:id="73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7830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650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849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2166</w:t>
            </w:r>
          </w:p>
        </w:tc>
      </w:tr>
    </w:tbl>
    <w:p>
      <w:pPr>
        <w:pStyle w:val="4"/>
        <w:widowControl w:val="0"/>
        <w:jc w:val="both"/>
      </w:pPr>
      <w:bookmarkStart w:id="74" w:name="_Toc5002"/>
      <w:r>
        <w:t>建筑运行碳排放</w:t>
      </w:r>
      <w:bookmarkEnd w:id="7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293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208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空调能耗"/>
            <w:r>
              <w:rPr>
                <w:lang w:val="en-US"/>
              </w:rPr>
              <w:t>296</w:t>
            </w:r>
            <w:bookmarkEnd w:id="75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45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32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161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159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161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113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712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705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501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1661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1643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1168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动力系统能耗"/>
            <w:r>
              <w:rPr>
                <w:rFonts w:hint="eastAsia"/>
                <w:lang w:val="en-US"/>
              </w:rPr>
              <w:t>425</w:t>
            </w:r>
            <w:bookmarkEnd w:id="76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电力CO2排放因子6"/>
            <w:r>
              <w:t>0.7035</w:t>
            </w:r>
            <w:bookmarkEnd w:id="77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其他能耗_电耗CO2排放"/>
            <w:r>
              <w:t>1704</w:t>
            </w:r>
            <w:bookmarkEnd w:id="7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动力系统能耗_电耗CO2排放平米"/>
            <w:r>
              <w:t>299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排风机能耗"/>
            <w:r>
              <w:rPr>
                <w:rFonts w:hint="eastAsia"/>
                <w:lang w:val="en-US"/>
              </w:rPr>
              <w:t>1298</w:t>
            </w:r>
            <w:bookmarkEnd w:id="8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排风机能耗_电耗CO2排放平米"/>
            <w:r>
              <w:t>913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水系统能耗"/>
            <w:r>
              <w:rPr>
                <w:rFonts w:hint="eastAsia"/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水系统能耗_电耗CO2排放平米"/>
            <w:r>
              <w:t>0</w:t>
            </w:r>
            <w:bookmarkEnd w:id="83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其他能耗"/>
            <w:r>
              <w:rPr>
                <w:rFonts w:hint="eastAsia"/>
                <w:lang w:val="en-US"/>
              </w:rPr>
              <w:t>1723</w:t>
            </w:r>
            <w:bookmarkEnd w:id="84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其他能耗_电耗CO2排放平米"/>
            <w:r>
              <w:t>1212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源能耗_燃料类型"/>
            <w:r>
              <w:t>无</w:t>
            </w:r>
            <w:bookmarkEnd w:id="86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锅炉能耗"/>
            <w:r>
              <w:rPr>
                <w:rFonts w:hint="eastAsia"/>
                <w:lang w:val="en-US"/>
              </w:rPr>
              <w:t>0</w:t>
            </w:r>
            <w:bookmarkEnd w:id="87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能耗_燃料CO2排放因子"/>
            <w:r>
              <w:t>0</w:t>
            </w:r>
            <w:bookmarkEnd w:id="88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锅炉碳排放"/>
            <w:r>
              <w:t>0</w:t>
            </w:r>
            <w:bookmarkEnd w:id="89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锅炉碳排放平米"/>
            <w:r>
              <w:t>0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太阳能能耗"/>
            <w:r>
              <w:rPr>
                <w:rFonts w:hint="eastAsia"/>
                <w:lang w:val="en-US"/>
              </w:rPr>
              <w:t>84</w:t>
            </w:r>
            <w:bookmarkEnd w:id="91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7"/>
            <w:r>
              <w:t>0.7035</w:t>
            </w:r>
            <w:bookmarkEnd w:id="92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可再生能源能耗_电耗CO2排放"/>
            <w:r>
              <w:t>16871</w:t>
            </w:r>
            <w:bookmarkEnd w:id="93"/>
            <w:bookmarkStart w:id="94" w:name="_GoBack"/>
            <w:bookmarkEnd w:id="94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太阳能能耗_电耗CO2排放平米"/>
            <w:r>
              <w:t>59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光伏能耗"/>
            <w:r>
              <w:rPr>
                <w:rFonts w:hint="eastAsia"/>
                <w:lang w:val="en-US"/>
              </w:rPr>
              <w:t>16965</w:t>
            </w:r>
            <w:bookmarkEnd w:id="96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光伏能耗_电耗CO2排放平米"/>
            <w:r>
              <w:t>11935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风力能耗"/>
            <w:r>
              <w:rPr>
                <w:rFonts w:hint="eastAsia"/>
                <w:lang w:val="en-US"/>
              </w:rPr>
              <w:t>4</w:t>
            </w:r>
            <w:bookmarkEnd w:id="9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风力能耗_电耗CO2排放平米"/>
            <w:r>
              <w:t>3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可再生能源能耗"/>
            <w:r>
              <w:rPr>
                <w:rFonts w:hint="eastAsia"/>
                <w:lang w:val="en-US"/>
              </w:rPr>
              <w:t>17054</w:t>
            </w:r>
            <w:bookmarkEnd w:id="10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能源能耗_电耗CO2排放平米"/>
            <w:r>
              <w:t>11997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建筑总碳排放"/>
            <w:r>
              <w:t>0</w:t>
            </w:r>
            <w:bookmarkEnd w:id="10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建筑总碳排放平米"/>
            <w:r>
              <w:t>0</w:t>
            </w:r>
            <w:bookmarkEnd w:id="103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4" w:name="_Toc8266"/>
      <w:r>
        <w:t>全生命周期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749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-3046</w:t>
            </w:r>
          </w:p>
        </w:tc>
        <w:tc>
          <w:tcPr>
            <w:vAlign w:val="center"/>
          </w:tcPr>
          <w:p>
            <w:r>
              <w:t>-43</w:t>
            </w:r>
          </w:p>
        </w:tc>
        <w:tc>
          <w:tcPr>
            <w:vAlign w:val="center"/>
          </w:tcPr>
          <w:p>
            <w:r>
              <w:t>-2166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-2177</w:t>
            </w:r>
          </w:p>
        </w:tc>
        <w:tc>
          <w:tcPr>
            <w:vAlign w:val="center"/>
          </w:tcPr>
          <w:p>
            <w:r>
              <w:t>-30</w:t>
            </w:r>
          </w:p>
        </w:tc>
        <w:tc>
          <w:tcPr>
            <w:vAlign w:val="center"/>
          </w:tcPr>
          <w:p>
            <w:r>
              <w:t>-1550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5" w:name="_Toc29734"/>
      <w:r>
        <w:t>附录</w:t>
      </w:r>
      <w:bookmarkEnd w:id="105"/>
    </w:p>
    <w:p>
      <w:pPr>
        <w:pStyle w:val="4"/>
        <w:jc w:val="both"/>
      </w:pPr>
      <w:bookmarkStart w:id="106" w:name="_Toc6570"/>
      <w:r>
        <w:t>工作日/节假日人员逐时在室率(%)</w:t>
      </w:r>
      <w:bookmarkEnd w:id="10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7" w:name="_Toc22404"/>
      <w:r>
        <w:t>工作日/节假日照明开关时间表(%)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8" w:name="_Toc7604"/>
      <w:r>
        <w:t>工作日/节假日设备逐时使用率(%)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9" w:name="_Toc27417"/>
      <w:r>
        <w:t>工作日/节假日空调系统运行时间表(1:开,0:关)</w:t>
      </w:r>
      <w:bookmarkEnd w:id="10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CE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细水长流</cp:lastModifiedBy>
  <cp:lastPrinted>2411-12-31T16:00:00Z</cp:lastPrinted>
  <dcterms:modified xsi:type="dcterms:W3CDTF">2022-03-12T13:59:06Z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0A5858FD4E2F4073A38E63F370B41D65</vt:lpwstr>
  </property>
</Properties>
</file>