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eastAsia="宋体"/>
          <w:b/>
          <w:bCs/>
          <w:sz w:val="32"/>
          <w:szCs w:val="32"/>
          <w:lang w:eastAsia="zh-CN"/>
        </w:rPr>
      </w:pPr>
      <w:r>
        <w:rPr>
          <w:rFonts w:ascii="宋体" w:hAnsi="宋体"/>
          <w:b/>
          <w:bCs/>
          <w:sz w:val="32"/>
          <w:szCs w:val="32"/>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宋体" w:hAnsi="宋体"/>
          <w:b/>
          <w:bCs/>
          <w:sz w:val="32"/>
          <w:szCs w:val="32"/>
          <w:lang w:eastAsia="zh-CN"/>
        </w:rPr>
        <w:instrText xml:space="preserve">ADDIN CNKISM.UserStyle</w:instrText>
      </w:r>
      <w:r>
        <w:rPr>
          <w:rFonts w:ascii="宋体" w:hAnsi="宋体"/>
          <w:b/>
          <w:bCs/>
          <w:sz w:val="32"/>
          <w:szCs w:val="32"/>
        </w:rPr>
        <w:fldChar w:fldCharType="separate"/>
      </w:r>
      <w:r>
        <w:rPr>
          <w:rFonts w:ascii="宋体" w:hAnsi="宋体"/>
          <w:b/>
          <w:bCs/>
          <w:sz w:val="32"/>
          <w:szCs w:val="32"/>
        </w:rPr>
        <w:fldChar w:fldCharType="end"/>
      </w: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综合能耗节能率计算书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1" w:name="项目名称"/>
            <w:r>
              <w:rPr>
                <w:rFonts w:hint="eastAsia" w:ascii="宋体" w:hAnsi="宋体"/>
                <w:szCs w:val="21"/>
              </w:rPr>
              <w:t>归园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浙江-杭州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BK40663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bookmarkStart w:id="4" w:name="建设单位"/>
            <w:bookmarkStart w:id="5" w:name="设计单位"/>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w:t>
            </w:r>
            <w:r>
              <w:rPr>
                <w:rFonts w:hint="eastAsia" w:ascii="宋体" w:hAnsi="宋体"/>
                <w:szCs w:val="21"/>
                <w:lang w:val="en-US" w:eastAsia="zh-CN"/>
              </w:rPr>
              <w:t>1</w:t>
            </w:r>
            <w:r>
              <w:rPr>
                <w:rFonts w:hint="eastAsia" w:ascii="宋体" w:hAnsi="宋体"/>
                <w:szCs w:val="21"/>
              </w:rPr>
              <w:t>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N4AABF5C86ADF923B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_Toc28781 </w:instrText>
      </w:r>
      <w:r>
        <w:rPr>
          <w:rFonts w:ascii="宋体" w:hAnsi="宋体"/>
          <w:bCs w:val="0"/>
          <w:caps/>
        </w:rPr>
        <w:fldChar w:fldCharType="separate"/>
      </w:r>
      <w:r>
        <w:rPr>
          <w:rFonts w:hint="eastAsia"/>
        </w:rPr>
        <w:t>1 建筑概况</w:t>
      </w:r>
      <w:r>
        <w:tab/>
      </w:r>
      <w:r>
        <w:fldChar w:fldCharType="begin"/>
      </w:r>
      <w:r>
        <w:instrText xml:space="preserve"> PAGEREF _Toc28781 \h </w:instrText>
      </w:r>
      <w:r>
        <w:fldChar w:fldCharType="separate"/>
      </w:r>
      <w:r>
        <w:t>4</w:t>
      </w:r>
      <w:r>
        <w:fldChar w:fldCharType="end"/>
      </w:r>
      <w:r>
        <w:rPr>
          <w:rFonts w:ascii="宋体" w:hAnsi="宋体"/>
          <w:bCs w:val="0"/>
          <w:caps/>
        </w:rPr>
        <w:fldChar w:fldCharType="end"/>
      </w:r>
    </w:p>
    <w:p>
      <w:pPr>
        <w:pStyle w:val="17"/>
        <w:tabs>
          <w:tab w:val="right" w:leader="dot" w:pos="9070"/>
          <w:tab w:val="clear" w:pos="180"/>
          <w:tab w:val="clear" w:pos="420"/>
          <w:tab w:val="clear" w:pos="9360"/>
        </w:tabs>
      </w:pPr>
      <w:r>
        <w:fldChar w:fldCharType="begin"/>
      </w:r>
      <w:r>
        <w:instrText xml:space="preserve"> HYPERLINK \l _Toc19130 </w:instrText>
      </w:r>
      <w:r>
        <w:fldChar w:fldCharType="separate"/>
      </w:r>
      <w:r>
        <w:rPr>
          <w:rFonts w:hint="eastAsia"/>
        </w:rPr>
        <w:t>2 计算依据</w:t>
      </w:r>
      <w:r>
        <w:tab/>
      </w:r>
      <w:r>
        <w:fldChar w:fldCharType="begin"/>
      </w:r>
      <w:r>
        <w:instrText xml:space="preserve"> PAGEREF _Toc19130 \h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_Toc11881 </w:instrText>
      </w:r>
      <w:r>
        <w:fldChar w:fldCharType="separate"/>
      </w:r>
      <w:r>
        <w:rPr>
          <w:rFonts w:hint="eastAsia"/>
        </w:rPr>
        <w:t>3 计算要求</w:t>
      </w:r>
      <w:r>
        <w:tab/>
      </w:r>
      <w:r>
        <w:fldChar w:fldCharType="begin"/>
      </w:r>
      <w:r>
        <w:instrText xml:space="preserve"> PAGEREF _Toc11881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_Toc18312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_Toc18312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_Toc7125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_Toc7125 \h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_Toc15204 </w:instrText>
      </w:r>
      <w:r>
        <w:fldChar w:fldCharType="separate"/>
      </w:r>
      <w:r>
        <w:rPr>
          <w:rFonts w:hint="eastAsia"/>
        </w:rPr>
        <w:t>4 气象数据</w:t>
      </w:r>
      <w:r>
        <w:tab/>
      </w:r>
      <w:r>
        <w:fldChar w:fldCharType="begin"/>
      </w:r>
      <w:r>
        <w:instrText xml:space="preserve"> PAGEREF _Toc15204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_Toc21760 </w:instrText>
      </w:r>
      <w:r>
        <w:fldChar w:fldCharType="separate"/>
      </w:r>
      <w:r>
        <w:rPr>
          <w:rFonts w:hint="eastAsia"/>
          <w:lang w:val="en-GB"/>
        </w:rPr>
        <w:t xml:space="preserve">4.1 </w:t>
      </w:r>
      <w:r>
        <w:rPr>
          <w:rFonts w:hint="eastAsia"/>
        </w:rPr>
        <w:t>气象地点</w:t>
      </w:r>
      <w:r>
        <w:tab/>
      </w:r>
      <w:r>
        <w:fldChar w:fldCharType="begin"/>
      </w:r>
      <w:r>
        <w:instrText xml:space="preserve"> PAGEREF _Toc21760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_Toc30274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_Toc30274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_Toc876 </w:instrText>
      </w:r>
      <w:r>
        <w:fldChar w:fldCharType="separate"/>
      </w:r>
      <w:r>
        <w:rPr>
          <w:rFonts w:hint="eastAsia"/>
          <w:lang w:val="en-GB"/>
        </w:rPr>
        <w:t xml:space="preserve">4.3 </w:t>
      </w:r>
      <w:r>
        <w:rPr>
          <w:rFonts w:hint="eastAsia"/>
        </w:rPr>
        <w:t>逐月辐照量表</w:t>
      </w:r>
      <w:r>
        <w:tab/>
      </w:r>
      <w:r>
        <w:fldChar w:fldCharType="begin"/>
      </w:r>
      <w:r>
        <w:instrText xml:space="preserve"> PAGEREF _Toc876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_Toc6029 </w:instrText>
      </w:r>
      <w:r>
        <w:fldChar w:fldCharType="separate"/>
      </w:r>
      <w:r>
        <w:rPr>
          <w:rFonts w:hint="eastAsia"/>
          <w:lang w:val="en-GB"/>
        </w:rPr>
        <w:t xml:space="preserve">4.4 </w:t>
      </w:r>
      <w:r>
        <w:rPr>
          <w:rFonts w:hint="eastAsia"/>
        </w:rPr>
        <w:t>峰值工况</w:t>
      </w:r>
      <w:r>
        <w:tab/>
      </w:r>
      <w:r>
        <w:fldChar w:fldCharType="begin"/>
      </w:r>
      <w:r>
        <w:instrText xml:space="preserve"> PAGEREF _Toc6029 \h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_Toc15618 </w:instrText>
      </w:r>
      <w:r>
        <w:fldChar w:fldCharType="separate"/>
      </w:r>
      <w:r>
        <w:rPr>
          <w:rFonts w:hint="eastAsia"/>
        </w:rPr>
        <w:t xml:space="preserve">5 </w:t>
      </w:r>
      <w:r>
        <w:t>围护结构</w:t>
      </w:r>
      <w:r>
        <w:tab/>
      </w:r>
      <w:r>
        <w:fldChar w:fldCharType="begin"/>
      </w:r>
      <w:r>
        <w:instrText xml:space="preserve"> PAGEREF _Toc15618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_Toc10506 </w:instrText>
      </w:r>
      <w:r>
        <w:fldChar w:fldCharType="separate"/>
      </w:r>
      <w:r>
        <w:rPr>
          <w:rFonts w:hint="eastAsia"/>
          <w:lang w:val="en-GB"/>
        </w:rPr>
        <w:t xml:space="preserve">5.1 </w:t>
      </w:r>
      <w:r>
        <w:t>工程材料</w:t>
      </w:r>
      <w:r>
        <w:tab/>
      </w:r>
      <w:r>
        <w:fldChar w:fldCharType="begin"/>
      </w:r>
      <w:r>
        <w:instrText xml:space="preserve"> PAGEREF _Toc10506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_Toc2535 </w:instrText>
      </w:r>
      <w:r>
        <w:fldChar w:fldCharType="separate"/>
      </w:r>
      <w:r>
        <w:rPr>
          <w:rFonts w:hint="eastAsia"/>
          <w:lang w:val="en-GB"/>
        </w:rPr>
        <w:t xml:space="preserve">5.2 </w:t>
      </w:r>
      <w:r>
        <w:t>围护结构作法简要说明</w:t>
      </w:r>
      <w:r>
        <w:tab/>
      </w:r>
      <w:r>
        <w:fldChar w:fldCharType="begin"/>
      </w:r>
      <w:r>
        <w:instrText xml:space="preserve"> PAGEREF _Toc2535 \h </w:instrText>
      </w:r>
      <w:r>
        <w:fldChar w:fldCharType="separate"/>
      </w:r>
      <w:r>
        <w:t>6</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_Toc2527 </w:instrText>
      </w:r>
      <w:r>
        <w:fldChar w:fldCharType="separate"/>
      </w:r>
      <w:r>
        <w:rPr>
          <w:rFonts w:hint="eastAsia"/>
        </w:rPr>
        <w:t xml:space="preserve">6 </w:t>
      </w:r>
      <w:r>
        <w:t>围护结构概况</w:t>
      </w:r>
      <w:r>
        <w:tab/>
      </w:r>
      <w:r>
        <w:fldChar w:fldCharType="begin"/>
      </w:r>
      <w:r>
        <w:instrText xml:space="preserve"> PAGEREF _Toc2527 \h </w:instrText>
      </w:r>
      <w:r>
        <w:fldChar w:fldCharType="separate"/>
      </w:r>
      <w:r>
        <w:t>6</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_Toc11770 </w:instrText>
      </w:r>
      <w:r>
        <w:fldChar w:fldCharType="separate"/>
      </w:r>
      <w:r>
        <w:rPr>
          <w:rFonts w:hint="eastAsia"/>
        </w:rPr>
        <w:t xml:space="preserve">7 </w:t>
      </w:r>
      <w:r>
        <w:t>设计建筑</w:t>
      </w:r>
      <w:r>
        <w:tab/>
      </w:r>
      <w:r>
        <w:fldChar w:fldCharType="begin"/>
      </w:r>
      <w:r>
        <w:instrText xml:space="preserve"> PAGEREF _Toc11770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_Toc29329 </w:instrText>
      </w:r>
      <w:r>
        <w:fldChar w:fldCharType="separate"/>
      </w:r>
      <w:r>
        <w:rPr>
          <w:rFonts w:hint="eastAsia"/>
          <w:lang w:val="en-GB"/>
        </w:rPr>
        <w:t xml:space="preserve">7.1 </w:t>
      </w:r>
      <w:r>
        <w:t>房间类型</w:t>
      </w:r>
      <w:r>
        <w:tab/>
      </w:r>
      <w:r>
        <w:fldChar w:fldCharType="begin"/>
      </w:r>
      <w:r>
        <w:instrText xml:space="preserve"> PAGEREF _Toc29329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_Toc31555 </w:instrText>
      </w:r>
      <w:r>
        <w:fldChar w:fldCharType="separate"/>
      </w:r>
      <w:r>
        <w:rPr>
          <w:rFonts w:hint="eastAsia" w:eastAsia="宋体"/>
          <w:szCs w:val="24"/>
          <w:lang w:val="en-GB"/>
        </w:rPr>
        <w:t xml:space="preserve">7.1.1 </w:t>
      </w:r>
      <w:r>
        <w:t>房间表</w:t>
      </w:r>
      <w:r>
        <w:tab/>
      </w:r>
      <w:r>
        <w:fldChar w:fldCharType="begin"/>
      </w:r>
      <w:r>
        <w:instrText xml:space="preserve"> PAGEREF _Toc31555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_Toc25148 </w:instrText>
      </w:r>
      <w:r>
        <w:fldChar w:fldCharType="separate"/>
      </w:r>
      <w:r>
        <w:rPr>
          <w:rFonts w:hint="eastAsia" w:eastAsia="宋体"/>
          <w:szCs w:val="24"/>
          <w:lang w:val="en-GB"/>
        </w:rPr>
        <w:t xml:space="preserve">7.1.2 </w:t>
      </w:r>
      <w:r>
        <w:t>作息时间表</w:t>
      </w:r>
      <w:r>
        <w:tab/>
      </w:r>
      <w:r>
        <w:fldChar w:fldCharType="begin"/>
      </w:r>
      <w:r>
        <w:instrText xml:space="preserve"> PAGEREF _Toc25148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_Toc23769 </w:instrText>
      </w:r>
      <w:r>
        <w:fldChar w:fldCharType="separate"/>
      </w:r>
      <w:r>
        <w:rPr>
          <w:rFonts w:hint="eastAsia"/>
          <w:lang w:val="en-GB"/>
        </w:rPr>
        <w:t xml:space="preserve">7.2 </w:t>
      </w:r>
      <w:r>
        <w:t>系统类型</w:t>
      </w:r>
      <w:r>
        <w:tab/>
      </w:r>
      <w:r>
        <w:fldChar w:fldCharType="begin"/>
      </w:r>
      <w:r>
        <w:instrText xml:space="preserve"> PAGEREF _Toc23769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_Toc1623 </w:instrText>
      </w:r>
      <w:r>
        <w:fldChar w:fldCharType="separate"/>
      </w:r>
      <w:r>
        <w:rPr>
          <w:rFonts w:hint="eastAsia"/>
          <w:lang w:val="en-GB"/>
        </w:rPr>
        <w:t xml:space="preserve">7.3 </w:t>
      </w:r>
      <w:r>
        <w:t>制冷系统</w:t>
      </w:r>
      <w:r>
        <w:tab/>
      </w:r>
      <w:r>
        <w:fldChar w:fldCharType="begin"/>
      </w:r>
      <w:r>
        <w:instrText xml:space="preserve"> PAGEREF _Toc1623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_Toc1552 </w:instrText>
      </w:r>
      <w:r>
        <w:fldChar w:fldCharType="separate"/>
      </w:r>
      <w:r>
        <w:rPr>
          <w:rFonts w:hint="eastAsia" w:eastAsia="宋体"/>
          <w:szCs w:val="24"/>
          <w:lang w:val="en-GB"/>
        </w:rPr>
        <w:t xml:space="preserve">7.3.1 </w:t>
      </w:r>
      <w:r>
        <w:t>多联机/单元式空调能耗</w:t>
      </w:r>
      <w:r>
        <w:tab/>
      </w:r>
      <w:r>
        <w:fldChar w:fldCharType="begin"/>
      </w:r>
      <w:r>
        <w:instrText xml:space="preserve"> PAGEREF _Toc1552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_Toc31162 </w:instrText>
      </w:r>
      <w:r>
        <w:fldChar w:fldCharType="separate"/>
      </w:r>
      <w:r>
        <w:rPr>
          <w:rFonts w:hint="eastAsia"/>
          <w:lang w:val="en-GB"/>
        </w:rPr>
        <w:t xml:space="preserve">7.4 </w:t>
      </w:r>
      <w:r>
        <w:t>供暖系统</w:t>
      </w:r>
      <w:r>
        <w:tab/>
      </w:r>
      <w:r>
        <w:fldChar w:fldCharType="begin"/>
      </w:r>
      <w:r>
        <w:instrText xml:space="preserve"> PAGEREF _Toc31162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_Toc20456 </w:instrText>
      </w:r>
      <w:r>
        <w:fldChar w:fldCharType="separate"/>
      </w:r>
      <w:r>
        <w:rPr>
          <w:rFonts w:hint="eastAsia" w:eastAsia="宋体"/>
          <w:szCs w:val="24"/>
          <w:lang w:val="en-GB"/>
        </w:rPr>
        <w:t xml:space="preserve">7.4.1 </w:t>
      </w:r>
      <w:r>
        <w:t>多联机/单元式热泵能耗</w:t>
      </w:r>
      <w:r>
        <w:tab/>
      </w:r>
      <w:r>
        <w:fldChar w:fldCharType="begin"/>
      </w:r>
      <w:r>
        <w:instrText xml:space="preserve"> PAGEREF _Toc20456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_Toc23754 </w:instrText>
      </w:r>
      <w:r>
        <w:fldChar w:fldCharType="separate"/>
      </w:r>
      <w:r>
        <w:rPr>
          <w:rFonts w:hint="eastAsia"/>
          <w:lang w:val="en-GB"/>
        </w:rPr>
        <w:t xml:space="preserve">7.5 </w:t>
      </w:r>
      <w:r>
        <w:t>空调风机</w:t>
      </w:r>
      <w:r>
        <w:tab/>
      </w:r>
      <w:r>
        <w:fldChar w:fldCharType="begin"/>
      </w:r>
      <w:r>
        <w:instrText xml:space="preserve"> PAGEREF _Toc23754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_Toc24336 </w:instrText>
      </w:r>
      <w:r>
        <w:fldChar w:fldCharType="separate"/>
      </w:r>
      <w:r>
        <w:rPr>
          <w:rFonts w:hint="eastAsia" w:eastAsia="宋体"/>
          <w:szCs w:val="24"/>
          <w:lang w:val="en-GB"/>
        </w:rPr>
        <w:t xml:space="preserve">7.5.1 </w:t>
      </w:r>
      <w:r>
        <w:t>独立新排风</w:t>
      </w:r>
      <w:r>
        <w:tab/>
      </w:r>
      <w:r>
        <w:fldChar w:fldCharType="begin"/>
      </w:r>
      <w:r>
        <w:instrText xml:space="preserve"> PAGEREF _Toc24336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_Toc6124 </w:instrText>
      </w:r>
      <w:r>
        <w:fldChar w:fldCharType="separate"/>
      </w:r>
      <w:r>
        <w:rPr>
          <w:rFonts w:hint="eastAsia"/>
          <w:lang w:val="en-GB"/>
        </w:rPr>
        <w:t xml:space="preserve">7.6 </w:t>
      </w:r>
      <w:r>
        <w:t>照明</w:t>
      </w:r>
      <w:r>
        <w:tab/>
      </w:r>
      <w:r>
        <w:fldChar w:fldCharType="begin"/>
      </w:r>
      <w:r>
        <w:instrText xml:space="preserve"> PAGEREF _Toc6124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_Toc16129 </w:instrText>
      </w:r>
      <w:r>
        <w:fldChar w:fldCharType="separate"/>
      </w:r>
      <w:r>
        <w:rPr>
          <w:rFonts w:hint="eastAsia"/>
          <w:lang w:val="en-GB"/>
        </w:rPr>
        <w:t xml:space="preserve">7.7 </w:t>
      </w:r>
      <w:r>
        <w:t>逐月电耗</w:t>
      </w:r>
      <w:r>
        <w:tab/>
      </w:r>
      <w:r>
        <w:fldChar w:fldCharType="begin"/>
      </w:r>
      <w:r>
        <w:instrText xml:space="preserve"> PAGEREF _Toc16129 \h </w:instrText>
      </w:r>
      <w:r>
        <w:fldChar w:fldCharType="separate"/>
      </w:r>
      <w:r>
        <w:t>8</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_Toc25266 </w:instrText>
      </w:r>
      <w:r>
        <w:fldChar w:fldCharType="separate"/>
      </w:r>
      <w:r>
        <w:rPr>
          <w:rFonts w:hint="eastAsia"/>
        </w:rPr>
        <w:t xml:space="preserve">8 </w:t>
      </w:r>
      <w:r>
        <w:t>参照建筑</w:t>
      </w:r>
      <w:r>
        <w:tab/>
      </w:r>
      <w:r>
        <w:fldChar w:fldCharType="begin"/>
      </w:r>
      <w:r>
        <w:instrText xml:space="preserve"> PAGEREF _Toc25266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_Toc17152 </w:instrText>
      </w:r>
      <w:r>
        <w:fldChar w:fldCharType="separate"/>
      </w:r>
      <w:r>
        <w:rPr>
          <w:rFonts w:hint="eastAsia"/>
          <w:lang w:val="en-GB"/>
        </w:rPr>
        <w:t xml:space="preserve">8.1 </w:t>
      </w:r>
      <w:r>
        <w:t>房间类型</w:t>
      </w:r>
      <w:r>
        <w:tab/>
      </w:r>
      <w:r>
        <w:fldChar w:fldCharType="begin"/>
      </w:r>
      <w:r>
        <w:instrText xml:space="preserve"> PAGEREF _Toc17152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_Toc15716 </w:instrText>
      </w:r>
      <w:r>
        <w:fldChar w:fldCharType="separate"/>
      </w:r>
      <w:r>
        <w:rPr>
          <w:rFonts w:hint="eastAsia" w:eastAsia="宋体"/>
          <w:szCs w:val="24"/>
          <w:lang w:val="en-GB"/>
        </w:rPr>
        <w:t xml:space="preserve">8.1.1 </w:t>
      </w:r>
      <w:r>
        <w:t>房间表</w:t>
      </w:r>
      <w:r>
        <w:tab/>
      </w:r>
      <w:r>
        <w:fldChar w:fldCharType="begin"/>
      </w:r>
      <w:r>
        <w:instrText xml:space="preserve"> PAGEREF _Toc15716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_Toc17407 </w:instrText>
      </w:r>
      <w:r>
        <w:fldChar w:fldCharType="separate"/>
      </w:r>
      <w:r>
        <w:rPr>
          <w:rFonts w:hint="eastAsia" w:eastAsia="宋体"/>
          <w:szCs w:val="24"/>
          <w:lang w:val="en-GB"/>
        </w:rPr>
        <w:t xml:space="preserve">8.1.2 </w:t>
      </w:r>
      <w:r>
        <w:t>作息时间表</w:t>
      </w:r>
      <w:r>
        <w:tab/>
      </w:r>
      <w:r>
        <w:fldChar w:fldCharType="begin"/>
      </w:r>
      <w:r>
        <w:instrText xml:space="preserve"> PAGEREF _Toc17407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_Toc14284 </w:instrText>
      </w:r>
      <w:r>
        <w:fldChar w:fldCharType="separate"/>
      </w:r>
      <w:r>
        <w:rPr>
          <w:rFonts w:hint="eastAsia"/>
          <w:lang w:val="en-GB"/>
        </w:rPr>
        <w:t xml:space="preserve">8.2 </w:t>
      </w:r>
      <w:r>
        <w:t>系统类型</w:t>
      </w:r>
      <w:r>
        <w:tab/>
      </w:r>
      <w:r>
        <w:fldChar w:fldCharType="begin"/>
      </w:r>
      <w:r>
        <w:instrText xml:space="preserve"> PAGEREF _Toc14284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_Toc19126 </w:instrText>
      </w:r>
      <w:r>
        <w:fldChar w:fldCharType="separate"/>
      </w:r>
      <w:r>
        <w:rPr>
          <w:rFonts w:hint="eastAsia"/>
          <w:lang w:val="en-GB"/>
        </w:rPr>
        <w:t xml:space="preserve">8.3 </w:t>
      </w:r>
      <w:r>
        <w:t>制冷系统</w:t>
      </w:r>
      <w:r>
        <w:tab/>
      </w:r>
      <w:r>
        <w:fldChar w:fldCharType="begin"/>
      </w:r>
      <w:r>
        <w:instrText xml:space="preserve"> PAGEREF _Toc19126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_Toc30581 </w:instrText>
      </w:r>
      <w:r>
        <w:fldChar w:fldCharType="separate"/>
      </w:r>
      <w:r>
        <w:rPr>
          <w:rFonts w:hint="eastAsia" w:eastAsia="宋体"/>
          <w:szCs w:val="24"/>
          <w:lang w:val="en-GB"/>
        </w:rPr>
        <w:t xml:space="preserve">8.3.1 </w:t>
      </w:r>
      <w:r>
        <w:t>多联机/单元式空调能耗</w:t>
      </w:r>
      <w:r>
        <w:tab/>
      </w:r>
      <w:r>
        <w:fldChar w:fldCharType="begin"/>
      </w:r>
      <w:r>
        <w:instrText xml:space="preserve"> PAGEREF _Toc30581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_Toc28531 </w:instrText>
      </w:r>
      <w:r>
        <w:fldChar w:fldCharType="separate"/>
      </w:r>
      <w:r>
        <w:rPr>
          <w:rFonts w:hint="eastAsia"/>
          <w:lang w:val="en-GB"/>
        </w:rPr>
        <w:t xml:space="preserve">8.4 </w:t>
      </w:r>
      <w:r>
        <w:t>供暖系统</w:t>
      </w:r>
      <w:r>
        <w:tab/>
      </w:r>
      <w:r>
        <w:fldChar w:fldCharType="begin"/>
      </w:r>
      <w:r>
        <w:instrText xml:space="preserve"> PAGEREF _Toc28531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_Toc16565 </w:instrText>
      </w:r>
      <w:r>
        <w:fldChar w:fldCharType="separate"/>
      </w:r>
      <w:r>
        <w:rPr>
          <w:rFonts w:hint="eastAsia" w:eastAsia="宋体"/>
          <w:szCs w:val="24"/>
          <w:lang w:val="en-GB"/>
        </w:rPr>
        <w:t xml:space="preserve">8.4.1 </w:t>
      </w:r>
      <w:r>
        <w:t>多联机/单元式热泵能耗</w:t>
      </w:r>
      <w:r>
        <w:tab/>
      </w:r>
      <w:r>
        <w:fldChar w:fldCharType="begin"/>
      </w:r>
      <w:r>
        <w:instrText xml:space="preserve"> PAGEREF _Toc16565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_Toc17772 </w:instrText>
      </w:r>
      <w:r>
        <w:fldChar w:fldCharType="separate"/>
      </w:r>
      <w:r>
        <w:rPr>
          <w:rFonts w:hint="eastAsia"/>
          <w:lang w:val="en-GB"/>
        </w:rPr>
        <w:t xml:space="preserve">8.5 </w:t>
      </w:r>
      <w:r>
        <w:t>空调风机</w:t>
      </w:r>
      <w:r>
        <w:tab/>
      </w:r>
      <w:r>
        <w:fldChar w:fldCharType="begin"/>
      </w:r>
      <w:r>
        <w:instrText xml:space="preserve"> PAGEREF _Toc17772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_Toc8510 </w:instrText>
      </w:r>
      <w:r>
        <w:fldChar w:fldCharType="separate"/>
      </w:r>
      <w:r>
        <w:rPr>
          <w:rFonts w:hint="eastAsia" w:eastAsia="宋体"/>
          <w:szCs w:val="24"/>
          <w:lang w:val="en-GB"/>
        </w:rPr>
        <w:t xml:space="preserve">8.5.1 </w:t>
      </w:r>
      <w:r>
        <w:t>独立新排风</w:t>
      </w:r>
      <w:r>
        <w:tab/>
      </w:r>
      <w:r>
        <w:fldChar w:fldCharType="begin"/>
      </w:r>
      <w:r>
        <w:instrText xml:space="preserve"> PAGEREF _Toc8510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_Toc5529 </w:instrText>
      </w:r>
      <w:r>
        <w:fldChar w:fldCharType="separate"/>
      </w:r>
      <w:r>
        <w:rPr>
          <w:rFonts w:hint="eastAsia"/>
          <w:lang w:val="en-GB"/>
        </w:rPr>
        <w:t xml:space="preserve">8.6 </w:t>
      </w:r>
      <w:r>
        <w:t>照明</w:t>
      </w:r>
      <w:r>
        <w:tab/>
      </w:r>
      <w:r>
        <w:fldChar w:fldCharType="begin"/>
      </w:r>
      <w:r>
        <w:instrText xml:space="preserve"> PAGEREF _Toc5529 \h </w:instrText>
      </w:r>
      <w:r>
        <w:fldChar w:fldCharType="separate"/>
      </w:r>
      <w:r>
        <w:t>10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_Toc4106 </w:instrText>
      </w:r>
      <w:r>
        <w:fldChar w:fldCharType="separate"/>
      </w:r>
      <w:r>
        <w:rPr>
          <w:rFonts w:hint="eastAsia"/>
          <w:lang w:val="en-GB"/>
        </w:rPr>
        <w:t xml:space="preserve">8.7 </w:t>
      </w:r>
      <w:r>
        <w:t>逐月电耗</w:t>
      </w:r>
      <w:r>
        <w:tab/>
      </w:r>
      <w:r>
        <w:fldChar w:fldCharType="begin"/>
      </w:r>
      <w:r>
        <w:instrText xml:space="preserve"> PAGEREF _Toc4106 \h </w:instrText>
      </w:r>
      <w:r>
        <w:fldChar w:fldCharType="separate"/>
      </w:r>
      <w:r>
        <w:t>10</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_Toc3420 </w:instrText>
      </w:r>
      <w:r>
        <w:fldChar w:fldCharType="separate"/>
      </w:r>
      <w:r>
        <w:rPr>
          <w:rFonts w:hint="eastAsia"/>
        </w:rPr>
        <w:t xml:space="preserve">9 </w:t>
      </w:r>
      <w:r>
        <w:t>计算结果</w:t>
      </w:r>
      <w:r>
        <w:tab/>
      </w:r>
      <w:r>
        <w:fldChar w:fldCharType="begin"/>
      </w:r>
      <w:r>
        <w:instrText xml:space="preserve"> PAGEREF _Toc3420 \h </w:instrText>
      </w:r>
      <w:r>
        <w:fldChar w:fldCharType="separate"/>
      </w:r>
      <w:r>
        <w:t>10</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_Toc13795 </w:instrText>
      </w:r>
      <w:r>
        <w:fldChar w:fldCharType="separate"/>
      </w:r>
      <w:r>
        <w:rPr>
          <w:rFonts w:hint="eastAsia"/>
        </w:rPr>
        <w:t xml:space="preserve">10 </w:t>
      </w:r>
      <w:r>
        <w:t>绿色建筑性能评估得分</w:t>
      </w:r>
      <w:r>
        <w:tab/>
      </w:r>
      <w:r>
        <w:fldChar w:fldCharType="begin"/>
      </w:r>
      <w:r>
        <w:instrText xml:space="preserve"> PAGEREF _Toc13795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_Toc26506 </w:instrText>
      </w:r>
      <w:r>
        <w:fldChar w:fldCharType="separate"/>
      </w:r>
      <w:r>
        <w:rPr>
          <w:rFonts w:hint="eastAsia"/>
          <w:lang w:val="en-GB"/>
        </w:rPr>
        <w:t xml:space="preserve">10.1 </w:t>
      </w:r>
      <w:r>
        <w:t>降低建筑能耗</w:t>
      </w:r>
      <w:r>
        <w:tab/>
      </w:r>
      <w:r>
        <w:fldChar w:fldCharType="begin"/>
      </w:r>
      <w:r>
        <w:instrText xml:space="preserve"> PAGEREF _Toc26506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_Toc27342 </w:instrText>
      </w:r>
      <w:r>
        <w:fldChar w:fldCharType="separate"/>
      </w:r>
      <w:r>
        <w:rPr>
          <w:rFonts w:hint="eastAsia"/>
          <w:lang w:val="en-GB"/>
        </w:rPr>
        <w:t xml:space="preserve">10.2 </w:t>
      </w:r>
      <w:r>
        <w:t>降低建筑供暖空调系统能耗</w:t>
      </w:r>
      <w:r>
        <w:tab/>
      </w:r>
      <w:r>
        <w:fldChar w:fldCharType="begin"/>
      </w:r>
      <w:r>
        <w:instrText xml:space="preserve"> PAGEREF _Toc27342 \h </w:instrText>
      </w:r>
      <w:r>
        <w:fldChar w:fldCharType="separate"/>
      </w:r>
      <w:r>
        <w:t>11</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_Toc2701 </w:instrText>
      </w:r>
      <w:r>
        <w:fldChar w:fldCharType="separate"/>
      </w:r>
      <w:r>
        <w:rPr>
          <w:rFonts w:hint="eastAsia"/>
        </w:rPr>
        <w:t xml:space="preserve">11 </w:t>
      </w:r>
      <w:r>
        <w:t>附录</w:t>
      </w:r>
      <w:r>
        <w:tab/>
      </w:r>
      <w:r>
        <w:fldChar w:fldCharType="begin"/>
      </w:r>
      <w:r>
        <w:instrText xml:space="preserve"> PAGEREF _Toc2701 \h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_Toc6174 </w:instrText>
      </w:r>
      <w:r>
        <w:fldChar w:fldCharType="separate"/>
      </w:r>
      <w:r>
        <w:rPr>
          <w:rFonts w:hint="eastAsia"/>
          <w:lang w:val="en-GB"/>
        </w:rPr>
        <w:t xml:space="preserve">11.1 </w:t>
      </w:r>
      <w:r>
        <w:t>工作日/节假日人员逐时在室率(%)</w:t>
      </w:r>
      <w:r>
        <w:tab/>
      </w:r>
      <w:r>
        <w:fldChar w:fldCharType="begin"/>
      </w:r>
      <w:r>
        <w:instrText xml:space="preserve"> PAGEREF _Toc6174 \h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_Toc11442 </w:instrText>
      </w:r>
      <w:r>
        <w:fldChar w:fldCharType="separate"/>
      </w:r>
      <w:r>
        <w:rPr>
          <w:rFonts w:hint="eastAsia"/>
          <w:lang w:val="en-GB"/>
        </w:rPr>
        <w:t xml:space="preserve">11.2 </w:t>
      </w:r>
      <w:r>
        <w:t>工作日/节假日照明开关时间表(%)</w:t>
      </w:r>
      <w:r>
        <w:tab/>
      </w:r>
      <w:r>
        <w:fldChar w:fldCharType="begin"/>
      </w:r>
      <w:r>
        <w:instrText xml:space="preserve"> PAGEREF _Toc11442 \h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_Toc27660 </w:instrText>
      </w:r>
      <w:r>
        <w:fldChar w:fldCharType="separate"/>
      </w:r>
      <w:r>
        <w:rPr>
          <w:rFonts w:hint="eastAsia"/>
          <w:lang w:val="en-GB"/>
        </w:rPr>
        <w:t xml:space="preserve">11.3 </w:t>
      </w:r>
      <w:r>
        <w:t>工作日/节假日设备逐时使用率(%)</w:t>
      </w:r>
      <w:r>
        <w:tab/>
      </w:r>
      <w:r>
        <w:fldChar w:fldCharType="begin"/>
      </w:r>
      <w:r>
        <w:instrText xml:space="preserve"> PAGEREF _Toc27660 \h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_Toc22508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_Toc22508 \h </w:instrText>
      </w:r>
      <w:r>
        <w:fldChar w:fldCharType="separate"/>
      </w:r>
      <w:r>
        <w:t>12</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12" w:name="_Toc28781"/>
      <w:r>
        <w:rPr>
          <w:rFonts w:hint="eastAsia"/>
        </w:rPr>
        <w:t>建筑概况</w:t>
      </w:r>
      <w:bookmarkEnd w:id="12"/>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归园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浙江-杭州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30.23°</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120.17°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1444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13.0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4812.99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1542.86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hint="default" w:ascii="宋体" w:hAnsi="宋体" w:eastAsia="宋体"/>
                <w:lang w:val="en-US" w:eastAsia="zh-CN"/>
              </w:rPr>
            </w:pPr>
            <w:bookmarkStart w:id="26" w:name="结构类型"/>
            <w:r>
              <w:rPr>
                <w:rFonts w:hint="eastAsia" w:ascii="宋体" w:hAnsi="宋体"/>
                <w:lang w:val="en-US" w:eastAsia="zh-CN"/>
              </w:rPr>
              <w:t>钢筋混凝土</w:t>
            </w:r>
            <w:bookmarkStart w:id="105" w:name="_GoBack"/>
            <w:bookmarkEnd w:id="10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供冷期:7.14-8.31,供暖期:11.30-1.28</w:t>
            </w:r>
          </w:p>
        </w:tc>
      </w:tr>
    </w:tbl>
    <w:p>
      <w:pPr>
        <w:pStyle w:val="3"/>
        <w:ind w:firstLine="0" w:firstLineChars="0"/>
        <w:rPr>
          <w:lang w:val="en-US"/>
        </w:rPr>
      </w:pPr>
      <w:bookmarkStart w:id="30" w:name="TitleFormat"/>
    </w:p>
    <w:p>
      <w:pPr>
        <w:pStyle w:val="3"/>
        <w:ind w:firstLine="0" w:firstLineChars="0"/>
        <w:rPr>
          <w:lang w:val="en-US"/>
        </w:rPr>
      </w:pPr>
    </w:p>
    <w:p>
      <w:pPr>
        <w:pStyle w:val="2"/>
      </w:pPr>
      <w:bookmarkStart w:id="31" w:name="_Toc19130"/>
      <w:r>
        <w:rPr>
          <w:rFonts w:hint="eastAsia"/>
        </w:rPr>
        <w:t>计算依据</w:t>
      </w:r>
      <w:bookmarkEnd w:id="31"/>
    </w:p>
    <w:p>
      <w:pPr>
        <w:widowControl w:val="0"/>
        <w:jc w:val="both"/>
        <w:rPr>
          <w:kern w:val="2"/>
          <w:szCs w:val="24"/>
          <w:lang w:val="en-US"/>
        </w:rPr>
      </w:pPr>
      <w:bookmarkStart w:id="32" w:name="计算依据"/>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3" w:name="_Toc11881"/>
      <w:bookmarkStart w:id="34" w:name="_Toc31856"/>
      <w:bookmarkStart w:id="35" w:name="_Toc25351"/>
      <w:r>
        <w:rPr>
          <w:rFonts w:hint="eastAsia"/>
        </w:rPr>
        <w:t>计算要求</w:t>
      </w:r>
      <w:bookmarkEnd w:id="33"/>
    </w:p>
    <w:p>
      <w:pPr>
        <w:pStyle w:val="4"/>
        <w:tabs>
          <w:tab w:val="clear" w:pos="578"/>
        </w:tabs>
        <w:rPr>
          <w:kern w:val="2"/>
          <w:sz w:val="21"/>
        </w:rPr>
      </w:pPr>
      <w:bookmarkStart w:id="36" w:name="_Toc18312"/>
      <w:bookmarkStart w:id="37" w:name="_Toc20530"/>
      <w:bookmarkStart w:id="38" w:name="_Toc3445"/>
      <w:r>
        <w:rPr>
          <w:rFonts w:hint="eastAsia"/>
          <w:kern w:val="2"/>
          <w:sz w:val="21"/>
        </w:rPr>
        <w:t>计算目标</w:t>
      </w:r>
      <w:bookmarkEnd w:id="36"/>
    </w:p>
    <w:p>
      <w:pPr>
        <w:spacing w:line="360" w:lineRule="auto"/>
        <w:ind w:firstLine="420" w:firstLineChars="200"/>
        <w:rPr>
          <w:kern w:val="2"/>
          <w:szCs w:val="24"/>
          <w:lang w:val="en-US"/>
        </w:rPr>
      </w:pPr>
      <w:bookmarkStart w:id="39" w:name="_Toc30695"/>
      <w:bookmarkStart w:id="40"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pPr>
        <w:pStyle w:val="4"/>
        <w:tabs>
          <w:tab w:val="clear" w:pos="578"/>
        </w:tabs>
        <w:rPr>
          <w:kern w:val="2"/>
          <w:sz w:val="21"/>
        </w:rPr>
      </w:pPr>
      <w:bookmarkStart w:id="41" w:name="_Toc7125"/>
      <w:r>
        <w:rPr>
          <w:rFonts w:hint="eastAsia"/>
          <w:kern w:val="2"/>
          <w:sz w:val="21"/>
        </w:rPr>
        <w:t>计算方法</w:t>
      </w:r>
      <w:bookmarkEnd w:id="41"/>
    </w:p>
    <w:p>
      <w:pPr>
        <w:pStyle w:val="3"/>
        <w:ind w:firstLine="420"/>
        <w:jc w:val="left"/>
        <w:rPr>
          <w:lang w:val="en-US"/>
        </w:rPr>
      </w:pPr>
      <w:r>
        <w:rPr>
          <w:rFonts w:hint="eastAsia"/>
          <w:lang w:val="en-US"/>
        </w:rPr>
        <w:t>建立参照</w:t>
      </w:r>
      <w:r>
        <w:rPr>
          <w:lang w:val="en-US"/>
        </w:rPr>
        <w:t>建筑，参照建筑的热工参数、</w:t>
      </w:r>
      <w:r>
        <w:rPr>
          <w:rFonts w:hint="eastAsia"/>
          <w:lang w:val="en-US"/>
        </w:rPr>
        <w:t>采暖</w:t>
      </w:r>
      <w:r>
        <w:rPr>
          <w:lang w:val="en-US"/>
        </w:rPr>
        <w:t>空调照明形式及设备满足</w:t>
      </w:r>
      <w:r>
        <w:rPr>
          <w:rFonts w:hint="eastAsia"/>
          <w:lang w:val="en-US"/>
        </w:rPr>
        <w:t>现行</w:t>
      </w:r>
      <w:r>
        <w:rPr>
          <w:lang w:val="en-US"/>
        </w:rPr>
        <w:t>国家节能标准要求</w:t>
      </w:r>
      <w:r>
        <w:rPr>
          <w:rFonts w:hint="eastAsia"/>
          <w:lang w:val="en-US"/>
        </w:rPr>
        <w:t>。</w:t>
      </w:r>
    </w:p>
    <w:p>
      <w:pPr>
        <w:pStyle w:val="3"/>
        <w:ind w:firstLine="420"/>
        <w:jc w:val="left"/>
        <w:rPr>
          <w:lang w:val="en-US"/>
        </w:rPr>
      </w:pPr>
      <w:r>
        <w:rPr>
          <w:rFonts w:hint="eastAsia"/>
          <w:lang w:val="en-US"/>
        </w:rPr>
        <w:t>根据现行行业标准《民用建筑绿色性能计算标准》JGJ/T449的相关规定，分别计算设计建筑及参照建筑的供暖空调和照明系统能耗，计算其节能率并进行得分判定。</w:t>
      </w:r>
    </w:p>
    <w:p>
      <w:pPr>
        <w:pStyle w:val="3"/>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pPr>
        <w:pStyle w:val="3"/>
        <w:ind w:firstLine="840" w:firstLineChars="40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pPr>
        <w:pStyle w:val="2"/>
      </w:pPr>
      <w:bookmarkStart w:id="42" w:name="_Toc15204"/>
      <w:r>
        <w:rPr>
          <w:rFonts w:hint="eastAsia"/>
        </w:rPr>
        <w:t>气象数据</w:t>
      </w:r>
      <w:bookmarkEnd w:id="42"/>
    </w:p>
    <w:p>
      <w:pPr>
        <w:pStyle w:val="4"/>
      </w:pPr>
      <w:bookmarkStart w:id="43" w:name="_Toc21760"/>
      <w:r>
        <w:rPr>
          <w:rFonts w:hint="eastAsia"/>
        </w:rPr>
        <w:t>气象地点</w:t>
      </w:r>
      <w:bookmarkEnd w:id="43"/>
    </w:p>
    <w:p>
      <w:pPr>
        <w:pStyle w:val="3"/>
        <w:ind w:firstLine="420"/>
        <w:rPr>
          <w:lang w:val="en-US"/>
        </w:rPr>
      </w:pPr>
      <w:bookmarkStart w:id="44" w:name="气象数据来源"/>
      <w:r>
        <w:t>杭州, 《浙江省居住建筑节能设计标准》DB33-1015-2015</w:t>
      </w:r>
    </w:p>
    <w:p>
      <w:pPr>
        <w:pStyle w:val="4"/>
      </w:pPr>
      <w:bookmarkStart w:id="45" w:name="_Toc30274"/>
      <w:r>
        <w:rPr>
          <w:rFonts w:hint="eastAsia"/>
        </w:rPr>
        <w:t>逐日干球温度表</w:t>
      </w:r>
      <w:bookmarkEnd w:id="45"/>
    </w:p>
    <w:p>
      <w:pPr>
        <w:pStyle w:val="3"/>
        <w:ind w:firstLine="0" w:firstLineChars="0"/>
        <w:rPr>
          <w:lang w:val="en-US"/>
        </w:rPr>
      </w:pPr>
      <w:bookmarkStart w:id="46" w:name="日均干球温度变化表"/>
    </w:p>
    <w:p>
      <w:pPr>
        <w:pStyle w:val="4"/>
      </w:pPr>
      <w:bookmarkStart w:id="47" w:name="_Toc876"/>
      <w:r>
        <w:rPr>
          <w:rFonts w:hint="eastAsia"/>
        </w:rPr>
        <w:t>逐月辐照量表</w:t>
      </w:r>
      <w:bookmarkEnd w:id="47"/>
    </w:p>
    <w:p>
      <w:pPr>
        <w:pStyle w:val="3"/>
        <w:ind w:firstLine="0" w:firstLineChars="0"/>
        <w:rPr>
          <w:lang w:val="en-US"/>
        </w:rPr>
      </w:pPr>
      <w:bookmarkStart w:id="48" w:name="逐月辐照量图表"/>
    </w:p>
    <w:p>
      <w:pPr>
        <w:pStyle w:val="4"/>
      </w:pPr>
      <w:bookmarkStart w:id="49" w:name="_Toc6029"/>
      <w:r>
        <w:rPr>
          <w:rFonts w:hint="eastAsia"/>
        </w:rPr>
        <w:t>峰值工况</w:t>
      </w:r>
      <w:bookmarkEnd w:id="4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08月09日14时</w:t>
            </w:r>
          </w:p>
        </w:tc>
        <w:tc>
          <w:tcPr>
            <w:vAlign w:val="center"/>
          </w:tcPr>
          <w:p>
            <w:r>
              <w:t>41.7</w:t>
            </w:r>
          </w:p>
        </w:tc>
        <w:tc>
          <w:tcPr>
            <w:vAlign w:val="center"/>
          </w:tcPr>
          <w:p>
            <w:r>
              <w:t>23.9</w:t>
            </w:r>
          </w:p>
        </w:tc>
        <w:tc>
          <w:tcPr>
            <w:vAlign w:val="center"/>
          </w:tcPr>
          <w:p>
            <w:r>
              <w:t>11.6</w:t>
            </w:r>
          </w:p>
        </w:tc>
        <w:tc>
          <w:tcPr>
            <w:vAlign w:val="center"/>
          </w:tcPr>
          <w:p>
            <w:r>
              <w:t>71.8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最冷</w:t>
            </w:r>
          </w:p>
        </w:tc>
        <w:tc>
          <w:tcPr>
            <w:vAlign w:val="center"/>
          </w:tcPr>
          <w:p>
            <w:r>
              <w:t>01月08日05时</w:t>
            </w:r>
          </w:p>
        </w:tc>
        <w:tc>
          <w:tcPr>
            <w:vAlign w:val="center"/>
          </w:tcPr>
          <w:p>
            <w:r>
              <w:t>-1.7</w:t>
            </w:r>
          </w:p>
        </w:tc>
        <w:tc>
          <w:tcPr>
            <w:vAlign w:val="center"/>
          </w:tcPr>
          <w:p>
            <w:r>
              <w:t>-3.3</w:t>
            </w:r>
          </w:p>
        </w:tc>
        <w:tc>
          <w:tcPr>
            <w:vAlign w:val="center"/>
          </w:tcPr>
          <w:p>
            <w:r>
              <w:t>2.1</w:t>
            </w:r>
          </w:p>
        </w:tc>
        <w:tc>
          <w:tcPr>
            <w:vAlign w:val="center"/>
          </w:tcPr>
          <w:p>
            <w:r>
              <w:t>3.6</w:t>
            </w:r>
          </w:p>
        </w:tc>
      </w:tr>
    </w:tbl>
    <w:p>
      <w:pPr>
        <w:pStyle w:val="2"/>
        <w:widowControl w:val="0"/>
        <w:jc w:val="both"/>
      </w:pPr>
      <w:bookmarkStart w:id="50" w:name="_Toc15618"/>
      <w:bookmarkStart w:id="51" w:name="气象峰值工况"/>
      <w:r>
        <w:t>围护结构</w:t>
      </w:r>
      <w:bookmarkEnd w:id="50"/>
    </w:p>
    <w:p>
      <w:pPr>
        <w:pStyle w:val="4"/>
        <w:widowControl w:val="0"/>
        <w:jc w:val="both"/>
      </w:pPr>
      <w:bookmarkStart w:id="52" w:name="_Toc10506"/>
      <w:r>
        <w:t>工程材料</w:t>
      </w:r>
      <w:bookmarkEnd w:id="52"/>
    </w:p>
    <w:tbl>
      <w:tblPr>
        <w:tblStyle w:val="19"/>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纸面石膏板</w:t>
            </w:r>
          </w:p>
        </w:tc>
        <w:tc>
          <w:tcPr>
            <w:vAlign w:val="center"/>
          </w:tcPr>
          <w:p>
            <w:r>
              <w:t>0.330</w:t>
            </w:r>
          </w:p>
        </w:tc>
        <w:tc>
          <w:tcPr>
            <w:vAlign w:val="center"/>
          </w:tcPr>
          <w:p>
            <w:r>
              <w:t>5.144</w:t>
            </w:r>
          </w:p>
        </w:tc>
        <w:tc>
          <w:tcPr>
            <w:vAlign w:val="center"/>
          </w:tcPr>
          <w:p>
            <w:r>
              <w:t>1050.0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矿棉、岩棉、玻璃棉毡</w:t>
            </w:r>
          </w:p>
        </w:tc>
        <w:tc>
          <w:tcPr>
            <w:vAlign w:val="center"/>
          </w:tcPr>
          <w:p>
            <w:r>
              <w:t>0.048</w:t>
            </w:r>
          </w:p>
        </w:tc>
        <w:tc>
          <w:tcPr>
            <w:vAlign w:val="center"/>
          </w:tcPr>
          <w:p>
            <w:r>
              <w:t>0.684</w:t>
            </w:r>
          </w:p>
        </w:tc>
        <w:tc>
          <w:tcPr>
            <w:vAlign w:val="center"/>
          </w:tcPr>
          <w:p>
            <w:r>
              <w:t>100.0</w:t>
            </w:r>
          </w:p>
        </w:tc>
        <w:tc>
          <w:tcPr>
            <w:vAlign w:val="center"/>
          </w:tcPr>
          <w:p>
            <w:r>
              <w:t>1340.0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蒸压砂加气混凝土砌块蒸压粉煤灰加气混凝土砌块 B07</w:t>
            </w:r>
          </w:p>
        </w:tc>
        <w:tc>
          <w:tcPr>
            <w:vAlign w:val="center"/>
          </w:tcPr>
          <w:p>
            <w:r>
              <w:t>0.180</w:t>
            </w:r>
          </w:p>
        </w:tc>
        <w:tc>
          <w:tcPr>
            <w:vAlign w:val="center"/>
          </w:tcPr>
          <w:p>
            <w:r>
              <w:t>3.598</w:t>
            </w:r>
          </w:p>
        </w:tc>
        <w:tc>
          <w:tcPr>
            <w:vAlign w:val="center"/>
          </w:tcPr>
          <w:p>
            <w:r>
              <w:t>700.0</w:t>
            </w:r>
          </w:p>
        </w:tc>
        <w:tc>
          <w:tcPr>
            <w:vAlign w:val="center"/>
          </w:tcPr>
          <w:p>
            <w:r>
              <w:t>1412.8</w:t>
            </w:r>
          </w:p>
        </w:tc>
        <w:tc>
          <w:tcPr>
            <w:vAlign w:val="center"/>
          </w:tcPr>
          <w:p>
            <w:r>
              <w:t>0.0000</w:t>
            </w:r>
          </w:p>
        </w:tc>
        <w:tc>
          <w:tcPr>
            <w:vAlign w:val="center"/>
          </w:tcPr>
          <w:p>
            <w:r>
              <w:rPr>
                <w:sz w:val="18"/>
                <w:szCs w:val="18"/>
              </w:rPr>
              <w:t>修正系数α=1.25；适用部位：外墙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硅藻土类烧结保温砖（900级）</w:t>
            </w:r>
          </w:p>
        </w:tc>
        <w:tc>
          <w:tcPr>
            <w:vAlign w:val="center"/>
          </w:tcPr>
          <w:p>
            <w:r>
              <w:t>0.250</w:t>
            </w:r>
          </w:p>
        </w:tc>
        <w:tc>
          <w:tcPr>
            <w:vAlign w:val="center"/>
          </w:tcPr>
          <w:p>
            <w:r>
              <w:t>4.170</w:t>
            </w:r>
          </w:p>
        </w:tc>
        <w:tc>
          <w:tcPr>
            <w:vAlign w:val="center"/>
          </w:tcPr>
          <w:p>
            <w:r>
              <w:t>900.0</w:t>
            </w:r>
          </w:p>
        </w:tc>
        <w:tc>
          <w:tcPr>
            <w:vAlign w:val="center"/>
          </w:tcPr>
          <w:p>
            <w:r>
              <w:t>1062.7</w:t>
            </w:r>
          </w:p>
        </w:tc>
        <w:tc>
          <w:tcPr>
            <w:vAlign w:val="center"/>
          </w:tcPr>
          <w:p>
            <w:r>
              <w:t>0.0000</w:t>
            </w:r>
          </w:p>
        </w:tc>
        <w:tc>
          <w:tcPr>
            <w:vAlign w:val="center"/>
          </w:tcPr>
          <w:p>
            <w:r>
              <w:rPr>
                <w:sz w:val="18"/>
                <w:szCs w:val="18"/>
              </w:rPr>
              <w:t>修正系数α=1.00；适用部位：外墙、内墙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水泥砂浆（1）</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现浇混凝土屋面板</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挤塑聚苯板</w:t>
            </w:r>
          </w:p>
        </w:tc>
        <w:tc>
          <w:tcPr>
            <w:vAlign w:val="center"/>
          </w:tcPr>
          <w:p>
            <w:r>
              <w:t>0.030</w:t>
            </w:r>
          </w:p>
        </w:tc>
        <w:tc>
          <w:tcPr>
            <w:vAlign w:val="center"/>
          </w:tcPr>
          <w:p>
            <w:r>
              <w:t>0.317</w:t>
            </w:r>
          </w:p>
        </w:tc>
        <w:tc>
          <w:tcPr>
            <w:vAlign w:val="center"/>
          </w:tcPr>
          <w:p>
            <w:r>
              <w:t>28.0</w:t>
            </w:r>
          </w:p>
        </w:tc>
        <w:tc>
          <w:tcPr>
            <w:vAlign w:val="center"/>
          </w:tcPr>
          <w:p>
            <w:r>
              <w:t>1647.0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轻集料混凝土</w:t>
            </w:r>
          </w:p>
        </w:tc>
        <w:tc>
          <w:tcPr>
            <w:vAlign w:val="center"/>
          </w:tcPr>
          <w:p>
            <w:r>
              <w:t>0.890</w:t>
            </w:r>
          </w:p>
        </w:tc>
        <w:tc>
          <w:tcPr>
            <w:vAlign w:val="center"/>
          </w:tcPr>
          <w:p>
            <w:r>
              <w:t>10.673</w:t>
            </w:r>
          </w:p>
        </w:tc>
        <w:tc>
          <w:tcPr>
            <w:vAlign w:val="center"/>
          </w:tcPr>
          <w:p>
            <w:r>
              <w:t>1600.0</w:t>
            </w:r>
          </w:p>
        </w:tc>
        <w:tc>
          <w:tcPr>
            <w:vAlign w:val="center"/>
          </w:tcPr>
          <w:p>
            <w:r>
              <w:t>1100.0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抗裂砂浆（玻纤网）</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硬泡聚氨酯（1）</w:t>
            </w:r>
          </w:p>
        </w:tc>
        <w:tc>
          <w:tcPr>
            <w:vAlign w:val="center"/>
          </w:tcPr>
          <w:p>
            <w:r>
              <w:t>0.027</w:t>
            </w:r>
          </w:p>
        </w:tc>
        <w:tc>
          <w:tcPr>
            <w:vAlign w:val="center"/>
          </w:tcPr>
          <w:p>
            <w:r>
              <w:t>0.420</w:t>
            </w:r>
          </w:p>
        </w:tc>
        <w:tc>
          <w:tcPr>
            <w:vAlign w:val="center"/>
          </w:tcPr>
          <w:p>
            <w:r>
              <w:t>50.0</w:t>
            </w:r>
          </w:p>
        </w:tc>
        <w:tc>
          <w:tcPr>
            <w:vAlign w:val="center"/>
          </w:tcPr>
          <w:p>
            <w:r>
              <w:t>1796.8</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钢筋混凝土（1）</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混合砂浆</w:t>
            </w:r>
          </w:p>
        </w:tc>
        <w:tc>
          <w:tcPr>
            <w:vAlign w:val="center"/>
          </w:tcPr>
          <w:p>
            <w:r>
              <w:t>0.870</w:t>
            </w:r>
          </w:p>
        </w:tc>
        <w:tc>
          <w:tcPr>
            <w:vAlign w:val="center"/>
          </w:tcPr>
          <w:p>
            <w:r>
              <w:t>10.627</w:t>
            </w:r>
          </w:p>
        </w:tc>
        <w:tc>
          <w:tcPr>
            <w:vAlign w:val="center"/>
          </w:tcPr>
          <w:p>
            <w:r>
              <w:t>1700.0</w:t>
            </w:r>
          </w:p>
        </w:tc>
        <w:tc>
          <w:tcPr>
            <w:vAlign w:val="center"/>
          </w:tcPr>
          <w:p>
            <w:r>
              <w:t>1050.0</w:t>
            </w:r>
          </w:p>
        </w:tc>
        <w:tc>
          <w:tcPr>
            <w:vAlign w:val="center"/>
          </w:tcPr>
          <w:p>
            <w:r>
              <w:t>0.0000</w:t>
            </w:r>
          </w:p>
        </w:tc>
        <w:tc>
          <w:tcPr>
            <w:vAlign w:val="center"/>
          </w:tcPr>
          <w:p>
            <w:pPr>
              <w:rPr>
                <w:sz w:val="18"/>
                <w:szCs w:val="18"/>
              </w:rPr>
            </w:pPr>
          </w:p>
        </w:tc>
      </w:tr>
    </w:tbl>
    <w:p>
      <w:pPr>
        <w:pStyle w:val="4"/>
        <w:widowControl w:val="0"/>
        <w:jc w:val="both"/>
      </w:pPr>
      <w:bookmarkStart w:id="53" w:name="_Toc2535"/>
      <w:r>
        <w:t>围护结构作法简要说明</w:t>
      </w:r>
      <w:bookmarkEnd w:id="53"/>
    </w:p>
    <w:p>
      <w:pPr>
        <w:widowControl w:val="0"/>
        <w:jc w:val="both"/>
      </w:pPr>
      <w:r>
        <w:rPr>
          <w:b/>
          <w:color w:val="000000"/>
          <w:sz w:val="24"/>
          <w:szCs w:val="24"/>
        </w:rPr>
        <w:t>1. 屋顶构造：</w:t>
      </w:r>
      <w:r>
        <w:rPr>
          <w:color w:val="0000FF"/>
          <w:sz w:val="21"/>
          <w:szCs w:val="21"/>
        </w:rPr>
        <w:t>屋顶构造一：</w:t>
      </w:r>
      <w:r>
        <w:rPr>
          <w:color w:val="000000"/>
        </w:rPr>
        <w:t>（由上到下）</w:t>
      </w:r>
    </w:p>
    <w:p>
      <w:pPr>
        <w:widowControl w:val="0"/>
        <w:jc w:val="both"/>
      </w:pPr>
      <w:r>
        <w:t xml:space="preserve">    </w:t>
      </w:r>
      <w:r>
        <w:rPr>
          <w:color w:val="000000"/>
        </w:rPr>
        <w:t>水泥砂浆（1） 10mm＋</w:t>
      </w:r>
      <w:r>
        <w:rPr>
          <w:color w:val="800000"/>
        </w:rPr>
        <w:t>挤塑聚苯板 85mm</w:t>
      </w:r>
      <w:r>
        <w:rPr>
          <w:color w:val="000000"/>
        </w:rPr>
        <w:t>＋水泥砂浆（1） 10mm＋轻集料混凝土 80mm＋</w:t>
      </w:r>
      <w:r>
        <w:rPr>
          <w:color w:val="800080"/>
        </w:rPr>
        <w:t>现浇混凝土屋面板 120mm</w:t>
      </w:r>
    </w:p>
    <w:p>
      <w:pPr>
        <w:widowControl w:val="0"/>
        <w:jc w:val="both"/>
        <w:rPr>
          <w:color w:val="000000"/>
        </w:rPr>
      </w:pPr>
    </w:p>
    <w:p>
      <w:pPr>
        <w:widowControl w:val="0"/>
        <w:jc w:val="both"/>
        <w:rPr>
          <w:color w:val="000000"/>
        </w:rPr>
      </w:pPr>
      <w:r>
        <w:rPr>
          <w:b/>
          <w:color w:val="000000"/>
          <w:sz w:val="24"/>
          <w:szCs w:val="24"/>
        </w:rPr>
        <w:t>2. 外墙构造：</w:t>
      </w:r>
      <w:r>
        <w:rPr>
          <w:color w:val="0000FF"/>
          <w:sz w:val="21"/>
          <w:szCs w:val="21"/>
        </w:rPr>
        <w:t>外墙构造一：</w:t>
      </w:r>
      <w:r>
        <w:rPr>
          <w:color w:val="000000"/>
        </w:rPr>
        <w:t>（由外到内）</w:t>
      </w:r>
    </w:p>
    <w:p>
      <w:pPr>
        <w:widowControl w:val="0"/>
        <w:jc w:val="both"/>
        <w:rPr>
          <w:color w:val="000000"/>
        </w:rPr>
      </w:pPr>
      <w:r>
        <w:rPr>
          <w:color w:val="000000"/>
        </w:rPr>
        <w:t xml:space="preserve">    纸面石膏板 12mm＋</w:t>
      </w:r>
      <w:r>
        <w:rPr>
          <w:color w:val="800000"/>
        </w:rPr>
        <w:t>矿棉、岩棉、玻璃棉毡 50mm</w:t>
      </w:r>
      <w:r>
        <w:rPr>
          <w:color w:val="000000"/>
        </w:rPr>
        <w:t>＋蒸压砂加气混凝土砌块蒸压粉煤灰加气混凝土砌块 B07 30mm＋硅藻土类烧结保温砖（900级） 120mm＋水泥砂浆（1） 20mm</w:t>
      </w:r>
    </w:p>
    <w:p>
      <w:pPr>
        <w:widowControl w:val="0"/>
        <w:jc w:val="both"/>
        <w:rPr>
          <w:color w:val="000000"/>
        </w:rPr>
      </w:pPr>
    </w:p>
    <w:p>
      <w:pPr>
        <w:widowControl w:val="0"/>
        <w:jc w:val="both"/>
        <w:rPr>
          <w:color w:val="000000"/>
        </w:rPr>
      </w:pPr>
      <w:r>
        <w:rPr>
          <w:b/>
          <w:color w:val="000000"/>
          <w:sz w:val="24"/>
          <w:szCs w:val="24"/>
        </w:rPr>
        <w:t>3. 外窗构造：</w:t>
      </w:r>
      <w:r>
        <w:rPr>
          <w:color w:val="0000FF"/>
          <w:sz w:val="21"/>
          <w:szCs w:val="21"/>
        </w:rPr>
        <w:t>6高透光Low-E+12氩气+6透明-多腔塑料窗框：</w:t>
      </w:r>
    </w:p>
    <w:p>
      <w:pPr>
        <w:widowControl w:val="0"/>
        <w:jc w:val="both"/>
        <w:rPr>
          <w:color w:val="000000"/>
        </w:rPr>
      </w:pPr>
      <w:r>
        <w:rPr>
          <w:color w:val="000000"/>
        </w:rPr>
        <w:t xml:space="preserve">    传热系数1.600W/m^2.K，太阳得热系数0.409</w:t>
      </w:r>
    </w:p>
    <w:p>
      <w:pPr>
        <w:widowControl w:val="0"/>
        <w:jc w:val="both"/>
        <w:rPr>
          <w:color w:val="000000"/>
        </w:rPr>
      </w:pPr>
    </w:p>
    <w:p>
      <w:pPr>
        <w:pStyle w:val="2"/>
        <w:widowControl w:val="0"/>
        <w:jc w:val="both"/>
        <w:rPr>
          <w:color w:val="000000"/>
        </w:rPr>
      </w:pPr>
      <w:bookmarkStart w:id="54" w:name="_Toc2527"/>
      <w:r>
        <w:rPr>
          <w:color w:val="000000"/>
        </w:rPr>
        <w:t>围护结构概况</w:t>
      </w:r>
      <w:bookmarkEnd w:id="54"/>
    </w:p>
    <w:p/>
    <w:tbl>
      <w:tblPr>
        <w:tblStyle w:val="19"/>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p>
        </w:tc>
        <w:tc>
          <w:tcPr>
            <w:tcW w:w="158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0.34(D:3.28)</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0.60(D:3.74)</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tcBorders>
              <w:top w:val="single" w:color="auto" w:sz="6" w:space="0"/>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0.30</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1.60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0.18</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0.30</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3.00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0.20</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1.60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0.41</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0.20</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3.50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0.20</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1.60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0.20</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0.20</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3.50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pPr>
              <w:jc w:val="center"/>
              <w:rPr>
                <w:rFonts w:eastAsia="宋体"/>
                <w:bCs/>
                <w:sz w:val="21"/>
                <w:szCs w:val="21"/>
                <w:lang w:eastAsia="zh-CN"/>
              </w:rPr>
            </w:pPr>
          </w:p>
        </w:tc>
        <w:tc>
          <w:tcPr>
            <w:tcW w:w="401" w:type="pct"/>
            <w:tcBorders>
              <w:top w:val="single" w:color="auto" w:sz="6" w:space="0"/>
              <w:bottom w:val="single" w:color="auto" w:sz="12"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12"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0.03</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1.60</w:t>
            </w:r>
          </w:p>
        </w:tc>
        <w:tc>
          <w:tcPr>
            <w:tcW w:w="585"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0.21</w:t>
            </w:r>
          </w:p>
        </w:tc>
        <w:tc>
          <w:tcPr>
            <w:tcW w:w="582"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0.03</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3.50</w:t>
            </w:r>
          </w:p>
        </w:tc>
        <w:tc>
          <w:tcPr>
            <w:tcW w:w="503"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w:t>
            </w:r>
          </w:p>
        </w:tc>
      </w:tr>
    </w:tbl>
    <w:p>
      <w:pPr>
        <w:widowControl w:val="0"/>
        <w:jc w:val="both"/>
        <w:rPr>
          <w:color w:val="000000"/>
        </w:rPr>
      </w:pPr>
      <w:r>
        <w:rPr>
          <w:color w:val="000000"/>
        </w:rPr>
        <w:t>备注：1. — 代表本工程无对应项; 2. ——代表参照建筑不要求，取值同设计建筑。</w:t>
      </w:r>
    </w:p>
    <w:p>
      <w:pPr>
        <w:widowControl w:val="0"/>
        <w:jc w:val="both"/>
        <w:rPr>
          <w:color w:val="000000"/>
        </w:rPr>
      </w:pPr>
    </w:p>
    <w:p>
      <w:pPr>
        <w:pStyle w:val="2"/>
        <w:widowControl w:val="0"/>
        <w:jc w:val="both"/>
        <w:rPr>
          <w:color w:val="000000"/>
        </w:rPr>
      </w:pPr>
      <w:bookmarkStart w:id="55" w:name="_Toc11770"/>
      <w:r>
        <w:rPr>
          <w:color w:val="000000"/>
        </w:rPr>
        <w:t>设计建筑</w:t>
      </w:r>
      <w:bookmarkEnd w:id="55"/>
    </w:p>
    <w:p>
      <w:pPr>
        <w:pStyle w:val="4"/>
        <w:widowControl w:val="0"/>
        <w:jc w:val="both"/>
        <w:rPr>
          <w:color w:val="000000"/>
        </w:rPr>
      </w:pPr>
      <w:bookmarkStart w:id="56" w:name="_Toc29329"/>
      <w:r>
        <w:rPr>
          <w:color w:val="000000"/>
        </w:rPr>
        <w:t>房间类型</w:t>
      </w:r>
      <w:bookmarkEnd w:id="56"/>
    </w:p>
    <w:p>
      <w:pPr>
        <w:pStyle w:val="5"/>
        <w:widowControl w:val="0"/>
        <w:jc w:val="both"/>
        <w:rPr>
          <w:color w:val="000000"/>
        </w:rPr>
      </w:pPr>
      <w:bookmarkStart w:id="57" w:name="_Toc31555"/>
      <w:r>
        <w:rPr>
          <w:color w:val="000000"/>
        </w:rPr>
        <w:t>房间表</w:t>
      </w:r>
      <w:bookmarkEnd w:id="5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bl>
    <w:p>
      <w:pPr>
        <w:pStyle w:val="5"/>
        <w:widowControl w:val="0"/>
        <w:jc w:val="both"/>
        <w:rPr>
          <w:color w:val="000000"/>
        </w:rPr>
      </w:pPr>
      <w:bookmarkStart w:id="58" w:name="_Toc25148"/>
      <w:r>
        <w:rPr>
          <w:color w:val="000000"/>
        </w:rPr>
        <w:t>作息时间表</w:t>
      </w:r>
      <w:bookmarkEnd w:id="58"/>
    </w:p>
    <w:p>
      <w:pPr>
        <w:widowControl w:val="0"/>
        <w:jc w:val="both"/>
        <w:rPr>
          <w:color w:val="000000"/>
        </w:rPr>
      </w:pPr>
      <w:r>
        <w:rPr>
          <w:color w:val="000000"/>
        </w:rPr>
        <w:t>详见附录</w:t>
      </w:r>
    </w:p>
    <w:p>
      <w:pPr>
        <w:pStyle w:val="4"/>
        <w:widowControl w:val="0"/>
        <w:jc w:val="both"/>
        <w:rPr>
          <w:color w:val="000000"/>
        </w:rPr>
      </w:pPr>
      <w:bookmarkStart w:id="59" w:name="_Toc23769"/>
      <w:r>
        <w:rPr>
          <w:color w:val="000000"/>
        </w:rPr>
        <w:t>系统类型</w:t>
      </w:r>
      <w:bookmarkEnd w:id="5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单元式房间空调器</w:t>
            </w:r>
          </w:p>
        </w:tc>
        <w:tc>
          <w:tcPr>
            <w:vAlign w:val="center"/>
          </w:tcPr>
          <w:p>
            <w:r>
              <w:t>2.80</w:t>
            </w:r>
          </w:p>
        </w:tc>
        <w:tc>
          <w:tcPr>
            <w:vAlign w:val="center"/>
          </w:tcPr>
          <w:p>
            <w:r>
              <w:t>2.80</w:t>
            </w:r>
          </w:p>
        </w:tc>
        <w:tc>
          <w:tcPr>
            <w:vAlign w:val="center"/>
          </w:tcPr>
          <w:p>
            <w:r>
              <w:t>326.16</w:t>
            </w:r>
          </w:p>
        </w:tc>
        <w:tc>
          <w:tcPr>
            <w:vAlign w:val="center"/>
          </w:tcPr>
          <w:p>
            <w:r>
              <w:t>1002(1),1007(1),1006(1),1005(1),1004(1),1003(1),2009(2),2008(2),2007(2),2006(2),2005(2),3007(3),3006(3),3005(3),3004(3),3003(3),3002(3)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Sys0</w:t>
            </w:r>
          </w:p>
        </w:tc>
        <w:tc>
          <w:tcPr>
            <w:vAlign w:val="center"/>
          </w:tcPr>
          <w:p>
            <w:r>
              <w:t>单元式房间空调器</w:t>
            </w:r>
          </w:p>
        </w:tc>
        <w:tc>
          <w:tcPr>
            <w:vAlign w:val="center"/>
          </w:tcPr>
          <w:p>
            <w:r>
              <w:t>2.80</w:t>
            </w:r>
          </w:p>
        </w:tc>
        <w:tc>
          <w:tcPr>
            <w:vAlign w:val="center"/>
          </w:tcPr>
          <w:p>
            <w:r>
              <w:t>2.80</w:t>
            </w:r>
          </w:p>
        </w:tc>
        <w:tc>
          <w:tcPr>
            <w:vAlign w:val="center"/>
          </w:tcPr>
          <w:p>
            <w:r>
              <w:t>1003.27</w:t>
            </w:r>
          </w:p>
        </w:tc>
        <w:tc>
          <w:tcPr>
            <w:vAlign w:val="center"/>
          </w:tcPr>
          <w:p>
            <w:r>
              <w:t>1001(1),2004(2),2003(2),2002(2),2001(2),3001(3)</w:t>
            </w:r>
          </w:p>
        </w:tc>
      </w:tr>
    </w:tbl>
    <w:p>
      <w:pPr>
        <w:pStyle w:val="4"/>
        <w:widowControl w:val="0"/>
        <w:jc w:val="both"/>
        <w:rPr>
          <w:color w:val="000000"/>
        </w:rPr>
      </w:pPr>
      <w:bookmarkStart w:id="60" w:name="_Toc1623"/>
      <w:r>
        <w:rPr>
          <w:color w:val="000000"/>
        </w:rPr>
        <w:t>制冷系统</w:t>
      </w:r>
      <w:bookmarkEnd w:id="60"/>
    </w:p>
    <w:p>
      <w:pPr>
        <w:pStyle w:val="5"/>
        <w:widowControl w:val="0"/>
        <w:jc w:val="both"/>
        <w:rPr>
          <w:color w:val="000000"/>
        </w:rPr>
      </w:pPr>
      <w:bookmarkStart w:id="61" w:name="_Toc1552"/>
      <w:r>
        <w:rPr>
          <w:color w:val="000000"/>
        </w:rPr>
        <w:t>多联机/单元式空调能耗</w:t>
      </w:r>
      <w:bookmarkEnd w:id="6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耗冷量(kWh)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Sys0</w:t>
            </w:r>
          </w:p>
        </w:tc>
        <w:tc>
          <w:tcPr>
            <w:vAlign w:val="center"/>
          </w:tcPr>
          <w:p>
            <w:r>
              <w:t>2.80</w:t>
            </w:r>
          </w:p>
        </w:tc>
        <w:tc>
          <w:tcPr>
            <w:vAlign w:val="center"/>
          </w:tcPr>
          <w:p>
            <w:r>
              <w:t>21444</w:t>
            </w:r>
          </w:p>
        </w:tc>
        <w:tc>
          <w:tcPr>
            <w:vAlign w:val="center"/>
          </w:tcPr>
          <w:p>
            <w:r>
              <w:t>7659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2.80</w:t>
            </w:r>
          </w:p>
        </w:tc>
        <w:tc>
          <w:tcPr>
            <w:vAlign w:val="center"/>
          </w:tcPr>
          <w:p>
            <w:r>
              <w:t>22734</w:t>
            </w:r>
          </w:p>
        </w:tc>
        <w:tc>
          <w:tcPr>
            <w:vAlign w:val="center"/>
          </w:tcPr>
          <w:p>
            <w:r>
              <w:t>8119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2.80</w:t>
            </w:r>
          </w:p>
        </w:tc>
        <w:tc>
          <w:tcPr>
            <w:vAlign w:val="center"/>
          </w:tcPr>
          <w:p>
            <w:r>
              <w:t>44178</w:t>
            </w:r>
          </w:p>
        </w:tc>
        <w:tc>
          <w:tcPr>
            <w:vAlign w:val="center"/>
          </w:tcPr>
          <w:p>
            <w:r>
              <w:t>15778</w:t>
            </w:r>
          </w:p>
        </w:tc>
      </w:tr>
    </w:tbl>
    <w:p>
      <w:pPr>
        <w:pStyle w:val="4"/>
        <w:widowControl w:val="0"/>
        <w:jc w:val="both"/>
        <w:rPr>
          <w:color w:val="000000"/>
        </w:rPr>
      </w:pPr>
      <w:bookmarkStart w:id="62" w:name="_Toc31162"/>
      <w:r>
        <w:rPr>
          <w:color w:val="000000"/>
        </w:rPr>
        <w:t>供暖系统</w:t>
      </w:r>
      <w:bookmarkEnd w:id="62"/>
    </w:p>
    <w:p>
      <w:pPr>
        <w:pStyle w:val="5"/>
        <w:widowControl w:val="0"/>
        <w:jc w:val="both"/>
        <w:rPr>
          <w:color w:val="000000"/>
        </w:rPr>
      </w:pPr>
      <w:bookmarkStart w:id="63" w:name="_Toc20456"/>
      <w:r>
        <w:rPr>
          <w:color w:val="000000"/>
        </w:rPr>
        <w:t>多联机/单元式热泵能耗</w:t>
      </w:r>
      <w:bookmarkEnd w:id="6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耗热量(kWh)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Sys0</w:t>
            </w:r>
          </w:p>
        </w:tc>
        <w:tc>
          <w:tcPr>
            <w:vAlign w:val="center"/>
          </w:tcPr>
          <w:p>
            <w:r>
              <w:t>2.80</w:t>
            </w:r>
          </w:p>
        </w:tc>
        <w:tc>
          <w:tcPr>
            <w:vAlign w:val="center"/>
          </w:tcPr>
          <w:p>
            <w:r>
              <w:t>5508</w:t>
            </w:r>
          </w:p>
        </w:tc>
        <w:tc>
          <w:tcPr>
            <w:vAlign w:val="center"/>
          </w:tcPr>
          <w:p>
            <w:r>
              <w:t>1967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2.80</w:t>
            </w:r>
          </w:p>
        </w:tc>
        <w:tc>
          <w:tcPr>
            <w:vAlign w:val="center"/>
          </w:tcPr>
          <w:p>
            <w:r>
              <w:t>2933</w:t>
            </w:r>
          </w:p>
        </w:tc>
        <w:tc>
          <w:tcPr>
            <w:vAlign w:val="center"/>
          </w:tcPr>
          <w:p>
            <w:r>
              <w:t>1047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2.80</w:t>
            </w:r>
          </w:p>
        </w:tc>
        <w:tc>
          <w:tcPr>
            <w:vAlign w:val="center"/>
          </w:tcPr>
          <w:p>
            <w:r>
              <w:t>8441</w:t>
            </w:r>
          </w:p>
        </w:tc>
        <w:tc>
          <w:tcPr>
            <w:vAlign w:val="center"/>
          </w:tcPr>
          <w:p>
            <w:r>
              <w:t>3015</w:t>
            </w:r>
          </w:p>
        </w:tc>
      </w:tr>
    </w:tbl>
    <w:p>
      <w:pPr>
        <w:pStyle w:val="4"/>
        <w:widowControl w:val="0"/>
        <w:jc w:val="both"/>
        <w:rPr>
          <w:color w:val="000000"/>
        </w:rPr>
      </w:pPr>
      <w:bookmarkStart w:id="64" w:name="_Toc23754"/>
      <w:r>
        <w:rPr>
          <w:color w:val="000000"/>
        </w:rPr>
        <w:t>空调风机</w:t>
      </w:r>
      <w:bookmarkEnd w:id="64"/>
    </w:p>
    <w:p>
      <w:pPr>
        <w:pStyle w:val="5"/>
        <w:widowControl w:val="0"/>
        <w:jc w:val="both"/>
        <w:rPr>
          <w:color w:val="000000"/>
        </w:rPr>
      </w:pPr>
      <w:bookmarkStart w:id="65" w:name="_Toc24336"/>
      <w:r>
        <w:rPr>
          <w:color w:val="000000"/>
        </w:rPr>
        <w:t>独立新排风</w:t>
      </w:r>
      <w:bookmarkEnd w:id="6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1374</w:t>
            </w:r>
          </w:p>
        </w:tc>
        <w:tc>
          <w:tcPr>
            <w:vAlign w:val="center"/>
          </w:tcPr>
          <w:p>
            <w:r>
              <w:t>0.24</w:t>
            </w:r>
          </w:p>
        </w:tc>
        <w:tc>
          <w:tcPr>
            <w:vAlign w:val="center"/>
          </w:tcPr>
          <w:p>
            <w:r>
              <w:t>330</w:t>
            </w:r>
          </w:p>
        </w:tc>
        <w:tc>
          <w:tcPr>
            <w:vAlign w:val="center"/>
          </w:tcPr>
          <w:p>
            <w:r>
              <w:t>2616</w:t>
            </w:r>
          </w:p>
        </w:tc>
        <w:tc>
          <w:tcPr>
            <w:vAlign w:val="center"/>
          </w:tcPr>
          <w:p>
            <w:r>
              <w:t>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Sys0</w:t>
            </w:r>
          </w:p>
        </w:tc>
        <w:tc>
          <w:tcPr>
            <w:vAlign w:val="center"/>
          </w:tcPr>
          <w:p>
            <w:r>
              <w:t>3921</w:t>
            </w:r>
          </w:p>
        </w:tc>
        <w:tc>
          <w:tcPr>
            <w:vAlign w:val="center"/>
          </w:tcPr>
          <w:p>
            <w:r>
              <w:t>0.24</w:t>
            </w:r>
          </w:p>
        </w:tc>
        <w:tc>
          <w:tcPr>
            <w:vAlign w:val="center"/>
          </w:tcPr>
          <w:p>
            <w:r>
              <w:t>941</w:t>
            </w:r>
          </w:p>
        </w:tc>
        <w:tc>
          <w:tcPr>
            <w:vAlign w:val="center"/>
          </w:tcPr>
          <w:p>
            <w:r>
              <w:t>2616</w:t>
            </w:r>
          </w:p>
        </w:tc>
        <w:tc>
          <w:tcPr>
            <w:vAlign w:val="center"/>
          </w:tcPr>
          <w:p>
            <w:r>
              <w:t>2462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r>
              <w:t>合计</w:t>
            </w:r>
          </w:p>
        </w:tc>
        <w:tc>
          <w:tcPr>
            <w:vAlign w:val="center"/>
          </w:tcPr>
          <w:p>
            <w:r>
              <w:t>3325</w:t>
            </w:r>
          </w:p>
        </w:tc>
      </w:tr>
    </w:tbl>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1484</w:t>
            </w:r>
          </w:p>
        </w:tc>
        <w:tc>
          <w:tcPr>
            <w:vAlign w:val="center"/>
          </w:tcPr>
          <w:p>
            <w:r>
              <w:t>1.08</w:t>
            </w:r>
          </w:p>
        </w:tc>
        <w:tc>
          <w:tcPr>
            <w:vAlign w:val="center"/>
          </w:tcPr>
          <w:p>
            <w:r>
              <w:t>0.24</w:t>
            </w:r>
          </w:p>
        </w:tc>
        <w:tc>
          <w:tcPr>
            <w:vAlign w:val="center"/>
          </w:tcPr>
          <w:p>
            <w:r>
              <w:t>356</w:t>
            </w:r>
          </w:p>
        </w:tc>
        <w:tc>
          <w:tcPr>
            <w:vAlign w:val="center"/>
          </w:tcPr>
          <w:p>
            <w:r>
              <w:t>2616</w:t>
            </w:r>
          </w:p>
        </w:tc>
        <w:tc>
          <w:tcPr>
            <w:vAlign w:val="center"/>
          </w:tcPr>
          <w:p>
            <w:r>
              <w:t>932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Sys0</w:t>
            </w:r>
          </w:p>
        </w:tc>
        <w:tc>
          <w:tcPr>
            <w:vAlign w:val="center"/>
          </w:tcPr>
          <w:p>
            <w:r>
              <w:t>3137</w:t>
            </w:r>
          </w:p>
        </w:tc>
        <w:tc>
          <w:tcPr>
            <w:vAlign w:val="center"/>
          </w:tcPr>
          <w:p>
            <w:r>
              <w:t>0.8</w:t>
            </w:r>
          </w:p>
        </w:tc>
        <w:tc>
          <w:tcPr>
            <w:vAlign w:val="center"/>
          </w:tcPr>
          <w:p>
            <w:r>
              <w:t>0.24</w:t>
            </w:r>
          </w:p>
        </w:tc>
        <w:tc>
          <w:tcPr>
            <w:vAlign w:val="center"/>
          </w:tcPr>
          <w:p>
            <w:r>
              <w:t>753</w:t>
            </w:r>
          </w:p>
        </w:tc>
        <w:tc>
          <w:tcPr>
            <w:vAlign w:val="center"/>
          </w:tcPr>
          <w:p>
            <w:r>
              <w:t>2616</w:t>
            </w:r>
          </w:p>
        </w:tc>
        <w:tc>
          <w:tcPr>
            <w:vAlign w:val="center"/>
          </w:tcPr>
          <w:p>
            <w:r>
              <w:t>1970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r>
              <w:t>合计</w:t>
            </w:r>
          </w:p>
        </w:tc>
        <w:tc>
          <w:tcPr>
            <w:vAlign w:val="center"/>
          </w:tcPr>
          <w:p>
            <w:r>
              <w:t>2901</w:t>
            </w:r>
          </w:p>
        </w:tc>
      </w:tr>
    </w:tbl>
    <w:p>
      <w:pPr>
        <w:pStyle w:val="4"/>
        <w:widowControl w:val="0"/>
        <w:jc w:val="both"/>
        <w:rPr>
          <w:color w:val="000000"/>
        </w:rPr>
      </w:pPr>
      <w:bookmarkStart w:id="66" w:name="_Toc6124"/>
      <w:r>
        <w:rPr>
          <w:color w:val="000000"/>
        </w:rPr>
        <w:t>照明</w:t>
      </w:r>
      <w:bookmarkEnd w:id="66"/>
    </w:p>
    <w:tbl>
      <w:tblPr>
        <w:tblStyle w:val="19"/>
        <w:tblW w:w="935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35"/>
        <w:gridCol w:w="1697"/>
        <w:gridCol w:w="1131"/>
        <w:gridCol w:w="1522"/>
        <w:gridCol w:w="18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房间个数</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办公-普通办公室</w:t>
            </w:r>
          </w:p>
        </w:tc>
        <w:tc>
          <w:tcPr>
            <w:vAlign w:val="center"/>
          </w:tcPr>
          <w:p>
            <w:r>
              <w:t>15.12</w:t>
            </w:r>
          </w:p>
        </w:tc>
        <w:tc>
          <w:tcPr>
            <w:vAlign w:val="center"/>
          </w:tcPr>
          <w:p>
            <w:r>
              <w:t>23</w:t>
            </w:r>
          </w:p>
        </w:tc>
        <w:tc>
          <w:tcPr>
            <w:vAlign w:val="center"/>
          </w:tcPr>
          <w:p>
            <w:r>
              <w:t>1412</w:t>
            </w:r>
          </w:p>
        </w:tc>
        <w:tc>
          <w:tcPr>
            <w:vAlign w:val="center"/>
          </w:tcPr>
          <w:p>
            <w:r>
              <w:t>21352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总计</w:t>
            </w:r>
          </w:p>
        </w:tc>
        <w:tc>
          <w:tcPr>
            <w:vAlign w:val="center"/>
          </w:tcPr>
          <w:p>
            <w:r>
              <w:t>21352</w:t>
            </w:r>
          </w:p>
        </w:tc>
      </w:tr>
    </w:tbl>
    <w:p>
      <w:pPr>
        <w:pStyle w:val="4"/>
        <w:widowControl w:val="0"/>
        <w:jc w:val="both"/>
        <w:rPr>
          <w:color w:val="000000"/>
        </w:rPr>
      </w:pPr>
      <w:bookmarkStart w:id="67" w:name="_Toc16129"/>
      <w:r>
        <w:rPr>
          <w:color w:val="000000"/>
        </w:rPr>
        <w:t>逐月电耗</w:t>
      </w:r>
      <w:bookmarkEnd w:id="67"/>
    </w:p>
    <w:p>
      <w:pPr>
        <w:widowControl w:val="0"/>
        <w:jc w:val="both"/>
        <w:rPr>
          <w:color w:val="000000"/>
        </w:rPr>
      </w:pPr>
      <w:r>
        <w:rPr>
          <w:color w:val="000000"/>
        </w:rP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1.57</w:t>
            </w:r>
          </w:p>
        </w:tc>
        <w:tc>
          <w:tcPr>
            <w:vAlign w:val="center"/>
          </w:tcPr>
          <w:p>
            <w:pPr>
              <w:jc w:val="right"/>
            </w:pPr>
            <w:r>
              <w:t>0.00</w:t>
            </w:r>
          </w:p>
        </w:tc>
        <w:tc>
          <w:tcPr>
            <w:vAlign w:val="center"/>
          </w:tcPr>
          <w:p>
            <w:pPr>
              <w:jc w:val="right"/>
            </w:pPr>
            <w:r>
              <w:t>1.30</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1.11</w:t>
            </w:r>
          </w:p>
        </w:tc>
        <w:tc>
          <w:tcPr>
            <w:vAlign w:val="center"/>
          </w:tcPr>
          <w:p>
            <w:pPr>
              <w:jc w:val="right"/>
            </w:pPr>
            <w:r>
              <w:t>1.01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1.30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1.12</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4.24</w:t>
            </w:r>
          </w:p>
        </w:tc>
        <w:tc>
          <w:tcPr>
            <w:vAlign w:val="center"/>
          </w:tcPr>
          <w:p>
            <w:pPr>
              <w:jc w:val="right"/>
            </w:pPr>
            <w:r>
              <w:t>0.00</w:t>
            </w:r>
          </w:p>
        </w:tc>
        <w:tc>
          <w:tcPr>
            <w:vAlign w:val="center"/>
          </w:tcPr>
          <w:p>
            <w:pPr>
              <w:jc w:val="right"/>
            </w:pPr>
            <w:r>
              <w:t>0.00</w:t>
            </w:r>
          </w:p>
        </w:tc>
        <w:tc>
          <w:tcPr>
            <w:vAlign w:val="center"/>
          </w:tcPr>
          <w:p>
            <w:pPr>
              <w:jc w:val="right"/>
            </w:pPr>
            <w:r>
              <w:t>1.36</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6.68</w:t>
            </w:r>
          </w:p>
        </w:tc>
        <w:tc>
          <w:tcPr>
            <w:vAlign w:val="center"/>
          </w:tcPr>
          <w:p>
            <w:pPr>
              <w:jc w:val="right"/>
            </w:pPr>
            <w:r>
              <w:t>0.00</w:t>
            </w:r>
          </w:p>
        </w:tc>
        <w:tc>
          <w:tcPr>
            <w:vAlign w:val="center"/>
          </w:tcPr>
          <w:p>
            <w:pPr>
              <w:jc w:val="right"/>
            </w:pPr>
            <w:r>
              <w:t>0.71</w:t>
            </w:r>
          </w:p>
        </w:tc>
        <w:tc>
          <w:tcPr>
            <w:vAlign w:val="center"/>
          </w:tcPr>
          <w:p>
            <w:pPr>
              <w:jc w:val="right"/>
            </w:pPr>
            <w:r>
              <w:t>1.30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1.23</w:t>
            </w:r>
          </w:p>
        </w:tc>
        <w:tc>
          <w:tcPr>
            <w:vAlign w:val="center"/>
          </w:tcPr>
          <w:p>
            <w:pPr>
              <w:jc w:val="right"/>
            </w:pPr>
            <w:r>
              <w:t>1.18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1.18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0.52</w:t>
            </w:r>
          </w:p>
        </w:tc>
        <w:tc>
          <w:tcPr>
            <w:vAlign w:val="center"/>
          </w:tcPr>
          <w:p>
            <w:pPr>
              <w:jc w:val="right"/>
            </w:pPr>
            <w:r>
              <w:t>0.04</w:t>
            </w:r>
          </w:p>
        </w:tc>
        <w:tc>
          <w:tcPr>
            <w:vAlign w:val="center"/>
          </w:tcPr>
          <w:p>
            <w:pPr>
              <w:jc w:val="right"/>
            </w:pPr>
            <w:r>
              <w:t>1.30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10.93</w:t>
            </w:r>
          </w:p>
        </w:tc>
        <w:tc>
          <w:tcPr>
            <w:vAlign w:val="center"/>
          </w:tcPr>
          <w:p>
            <w:pPr>
              <w:jc w:val="right"/>
            </w:pPr>
            <w:r>
              <w:t>2.09</w:t>
            </w:r>
          </w:p>
        </w:tc>
        <w:tc>
          <w:tcPr>
            <w:vAlign w:val="center"/>
          </w:tcPr>
          <w:p>
            <w:pPr>
              <w:jc w:val="right"/>
            </w:pPr>
            <w:r>
              <w:t>3.09</w:t>
            </w:r>
          </w:p>
        </w:tc>
        <w:tc>
          <w:tcPr>
            <w:vAlign w:val="center"/>
          </w:tcPr>
          <w:p>
            <w:pPr>
              <w:jc w:val="right"/>
            </w:pPr>
            <w:r>
              <w:t>14.79</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rPr>
          <w:color w:val="000000"/>
        </w:rPr>
      </w:pPr>
      <w:bookmarkStart w:id="68" w:name="_Toc25266"/>
      <w:r>
        <w:rPr>
          <w:color w:val="000000"/>
        </w:rPr>
        <w:t>参照建筑</w:t>
      </w:r>
      <w:bookmarkEnd w:id="68"/>
    </w:p>
    <w:p>
      <w:pPr>
        <w:pStyle w:val="4"/>
        <w:widowControl w:val="0"/>
        <w:jc w:val="both"/>
        <w:rPr>
          <w:color w:val="000000"/>
        </w:rPr>
      </w:pPr>
      <w:bookmarkStart w:id="69" w:name="_Toc17152"/>
      <w:r>
        <w:rPr>
          <w:color w:val="000000"/>
        </w:rPr>
        <w:t>房间类型</w:t>
      </w:r>
      <w:bookmarkEnd w:id="69"/>
    </w:p>
    <w:p>
      <w:pPr>
        <w:pStyle w:val="5"/>
        <w:widowControl w:val="0"/>
        <w:jc w:val="both"/>
        <w:rPr>
          <w:color w:val="000000"/>
        </w:rPr>
      </w:pPr>
      <w:bookmarkStart w:id="70" w:name="_Toc15716"/>
      <w:r>
        <w:rPr>
          <w:color w:val="000000"/>
        </w:rPr>
        <w:t>房间表</w:t>
      </w:r>
      <w:bookmarkEnd w:id="70"/>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bl>
    <w:p>
      <w:pPr>
        <w:pStyle w:val="5"/>
        <w:widowControl w:val="0"/>
        <w:jc w:val="both"/>
        <w:rPr>
          <w:color w:val="000000"/>
        </w:rPr>
      </w:pPr>
      <w:bookmarkStart w:id="71" w:name="_Toc17407"/>
      <w:r>
        <w:rPr>
          <w:color w:val="000000"/>
        </w:rPr>
        <w:t>作息时间表</w:t>
      </w:r>
      <w:bookmarkEnd w:id="71"/>
    </w:p>
    <w:p>
      <w:pPr>
        <w:widowControl w:val="0"/>
        <w:jc w:val="both"/>
        <w:rPr>
          <w:color w:val="000000"/>
        </w:rPr>
      </w:pPr>
      <w:r>
        <w:rPr>
          <w:color w:val="000000"/>
        </w:rPr>
        <w:t>同设计建筑</w:t>
      </w:r>
    </w:p>
    <w:p>
      <w:pPr>
        <w:pStyle w:val="4"/>
        <w:widowControl w:val="0"/>
        <w:jc w:val="both"/>
        <w:rPr>
          <w:color w:val="000000"/>
        </w:rPr>
      </w:pPr>
      <w:bookmarkStart w:id="72" w:name="_Toc14284"/>
      <w:r>
        <w:rPr>
          <w:color w:val="000000"/>
        </w:rPr>
        <w:t>系统类型</w:t>
      </w:r>
      <w:bookmarkEnd w:id="7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单元式房间空调器</w:t>
            </w:r>
          </w:p>
        </w:tc>
        <w:tc>
          <w:tcPr>
            <w:vAlign w:val="center"/>
          </w:tcPr>
          <w:p>
            <w:r>
              <w:t>2.70</w:t>
            </w:r>
          </w:p>
        </w:tc>
        <w:tc>
          <w:tcPr>
            <w:vAlign w:val="center"/>
          </w:tcPr>
          <w:p>
            <w:r>
              <w:t>1.50</w:t>
            </w:r>
          </w:p>
        </w:tc>
        <w:tc>
          <w:tcPr>
            <w:vAlign w:val="center"/>
          </w:tcPr>
          <w:p>
            <w:r>
              <w:t>同设计建筑</w:t>
            </w:r>
          </w:p>
        </w:tc>
        <w:tc>
          <w:tcPr>
            <w:vAlign w:val="center"/>
          </w:tcPr>
          <w:p>
            <w:r>
              <w:t>同设计建筑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Sys0</w:t>
            </w:r>
          </w:p>
        </w:tc>
        <w:tc>
          <w:tcPr>
            <w:vAlign w:val="center"/>
          </w:tcPr>
          <w:p>
            <w:r>
              <w:t>单元式房间空调器</w:t>
            </w:r>
          </w:p>
        </w:tc>
        <w:tc>
          <w:tcPr>
            <w:vAlign w:val="center"/>
          </w:tcPr>
          <w:p>
            <w:r>
              <w:t>2.70</w:t>
            </w:r>
          </w:p>
        </w:tc>
        <w:tc>
          <w:tcPr>
            <w:vAlign w:val="center"/>
          </w:tcPr>
          <w:p>
            <w:r>
              <w:t>1.50</w:t>
            </w:r>
          </w:p>
        </w:tc>
        <w:tc>
          <w:tcPr>
            <w:vAlign w:val="center"/>
          </w:tcPr>
          <w:p>
            <w:r>
              <w:t>同设计建筑</w:t>
            </w:r>
          </w:p>
        </w:tc>
        <w:tc>
          <w:tcPr>
            <w:vAlign w:val="center"/>
          </w:tcPr>
          <w:p>
            <w:r>
              <w:t>同设计建筑</w:t>
            </w:r>
          </w:p>
        </w:tc>
      </w:tr>
    </w:tbl>
    <w:p>
      <w:pPr>
        <w:pStyle w:val="4"/>
        <w:widowControl w:val="0"/>
        <w:jc w:val="both"/>
        <w:rPr>
          <w:color w:val="000000"/>
        </w:rPr>
      </w:pPr>
      <w:bookmarkStart w:id="73" w:name="_Toc19126"/>
      <w:r>
        <w:rPr>
          <w:color w:val="000000"/>
        </w:rPr>
        <w:t>制冷系统</w:t>
      </w:r>
      <w:bookmarkEnd w:id="73"/>
    </w:p>
    <w:p>
      <w:pPr>
        <w:pStyle w:val="5"/>
        <w:widowControl w:val="0"/>
        <w:jc w:val="both"/>
        <w:rPr>
          <w:color w:val="000000"/>
        </w:rPr>
      </w:pPr>
      <w:bookmarkStart w:id="74" w:name="_Toc30581"/>
      <w:r>
        <w:rPr>
          <w:color w:val="000000"/>
        </w:rPr>
        <w:t>多联机/单元式空调能耗</w:t>
      </w:r>
      <w:bookmarkEnd w:id="74"/>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耗冷量(kWh)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Sys0</w:t>
            </w:r>
          </w:p>
        </w:tc>
        <w:tc>
          <w:tcPr>
            <w:vAlign w:val="center"/>
          </w:tcPr>
          <w:p>
            <w:r>
              <w:t>2.70</w:t>
            </w:r>
          </w:p>
        </w:tc>
        <w:tc>
          <w:tcPr>
            <w:vAlign w:val="center"/>
          </w:tcPr>
          <w:p>
            <w:r>
              <w:t>25242</w:t>
            </w:r>
          </w:p>
        </w:tc>
        <w:tc>
          <w:tcPr>
            <w:vAlign w:val="center"/>
          </w:tcPr>
          <w:p>
            <w:r>
              <w:t>9349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2.70</w:t>
            </w:r>
          </w:p>
        </w:tc>
        <w:tc>
          <w:tcPr>
            <w:vAlign w:val="center"/>
          </w:tcPr>
          <w:p>
            <w:r>
              <w:t>24726</w:t>
            </w:r>
          </w:p>
        </w:tc>
        <w:tc>
          <w:tcPr>
            <w:vAlign w:val="center"/>
          </w:tcPr>
          <w:p>
            <w:r>
              <w:t>9158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2.70</w:t>
            </w:r>
          </w:p>
        </w:tc>
        <w:tc>
          <w:tcPr>
            <w:vAlign w:val="center"/>
          </w:tcPr>
          <w:p>
            <w:r>
              <w:t>49969</w:t>
            </w:r>
          </w:p>
        </w:tc>
        <w:tc>
          <w:tcPr>
            <w:vAlign w:val="center"/>
          </w:tcPr>
          <w:p>
            <w:r>
              <w:t>18507</w:t>
            </w:r>
          </w:p>
        </w:tc>
      </w:tr>
    </w:tbl>
    <w:p>
      <w:pPr>
        <w:pStyle w:val="4"/>
        <w:widowControl w:val="0"/>
        <w:jc w:val="both"/>
        <w:rPr>
          <w:color w:val="000000"/>
        </w:rPr>
      </w:pPr>
      <w:bookmarkStart w:id="75" w:name="_Toc28531"/>
      <w:r>
        <w:rPr>
          <w:color w:val="000000"/>
        </w:rPr>
        <w:t>供暖系统</w:t>
      </w:r>
      <w:bookmarkEnd w:id="75"/>
    </w:p>
    <w:p>
      <w:pPr>
        <w:pStyle w:val="5"/>
        <w:widowControl w:val="0"/>
        <w:jc w:val="both"/>
        <w:rPr>
          <w:color w:val="000000"/>
        </w:rPr>
      </w:pPr>
      <w:bookmarkStart w:id="76" w:name="_Toc16565"/>
      <w:r>
        <w:rPr>
          <w:color w:val="000000"/>
        </w:rPr>
        <w:t>多联机/单元式热泵能耗</w:t>
      </w:r>
      <w:bookmarkEnd w:id="7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耗热量(kWh)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Sys0</w:t>
            </w:r>
          </w:p>
        </w:tc>
        <w:tc>
          <w:tcPr>
            <w:vAlign w:val="center"/>
          </w:tcPr>
          <w:p>
            <w:r>
              <w:t>1.50</w:t>
            </w:r>
          </w:p>
        </w:tc>
        <w:tc>
          <w:tcPr>
            <w:vAlign w:val="center"/>
          </w:tcPr>
          <w:p>
            <w:r>
              <w:t>12961</w:t>
            </w:r>
          </w:p>
        </w:tc>
        <w:tc>
          <w:tcPr>
            <w:vAlign w:val="center"/>
          </w:tcPr>
          <w:p>
            <w:r>
              <w:t>8641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1.50</w:t>
            </w:r>
          </w:p>
        </w:tc>
        <w:tc>
          <w:tcPr>
            <w:vAlign w:val="center"/>
          </w:tcPr>
          <w:p>
            <w:r>
              <w:t>6790</w:t>
            </w:r>
          </w:p>
        </w:tc>
        <w:tc>
          <w:tcPr>
            <w:vAlign w:val="center"/>
          </w:tcPr>
          <w:p>
            <w:r>
              <w:t>4527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1.50</w:t>
            </w:r>
          </w:p>
        </w:tc>
        <w:tc>
          <w:tcPr>
            <w:vAlign w:val="center"/>
          </w:tcPr>
          <w:p>
            <w:r>
              <w:t>19751</w:t>
            </w:r>
          </w:p>
        </w:tc>
        <w:tc>
          <w:tcPr>
            <w:vAlign w:val="center"/>
          </w:tcPr>
          <w:p>
            <w:r>
              <w:t>13167</w:t>
            </w:r>
          </w:p>
        </w:tc>
      </w:tr>
    </w:tbl>
    <w:p>
      <w:pPr>
        <w:pStyle w:val="4"/>
        <w:widowControl w:val="0"/>
        <w:jc w:val="both"/>
        <w:rPr>
          <w:color w:val="000000"/>
        </w:rPr>
      </w:pPr>
      <w:bookmarkStart w:id="77" w:name="_Toc17772"/>
      <w:r>
        <w:rPr>
          <w:color w:val="000000"/>
        </w:rPr>
        <w:t>空调风机</w:t>
      </w:r>
      <w:bookmarkEnd w:id="77"/>
    </w:p>
    <w:p>
      <w:pPr>
        <w:pStyle w:val="5"/>
        <w:widowControl w:val="0"/>
        <w:jc w:val="both"/>
        <w:rPr>
          <w:color w:val="000000"/>
        </w:rPr>
      </w:pPr>
      <w:bookmarkStart w:id="78" w:name="_Toc8510"/>
      <w:r>
        <w:rPr>
          <w:color w:val="000000"/>
        </w:rPr>
        <w:t>独立新排风</w:t>
      </w:r>
      <w:bookmarkEnd w:id="78"/>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1374</w:t>
            </w:r>
          </w:p>
        </w:tc>
        <w:tc>
          <w:tcPr>
            <w:vAlign w:val="center"/>
          </w:tcPr>
          <w:p>
            <w:r>
              <w:t>0.24</w:t>
            </w:r>
          </w:p>
        </w:tc>
        <w:tc>
          <w:tcPr>
            <w:vAlign w:val="center"/>
          </w:tcPr>
          <w:p>
            <w:r>
              <w:t>330</w:t>
            </w:r>
          </w:p>
        </w:tc>
        <w:tc>
          <w:tcPr>
            <w:vAlign w:val="center"/>
          </w:tcPr>
          <w:p>
            <w:r>
              <w:t>2616</w:t>
            </w:r>
          </w:p>
        </w:tc>
        <w:tc>
          <w:tcPr>
            <w:vAlign w:val="center"/>
          </w:tcPr>
          <w:p>
            <w:r>
              <w:t>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Sys0</w:t>
            </w:r>
          </w:p>
        </w:tc>
        <w:tc>
          <w:tcPr>
            <w:vAlign w:val="center"/>
          </w:tcPr>
          <w:p>
            <w:r>
              <w:t>3921</w:t>
            </w:r>
          </w:p>
        </w:tc>
        <w:tc>
          <w:tcPr>
            <w:vAlign w:val="center"/>
          </w:tcPr>
          <w:p>
            <w:r>
              <w:t>0.24</w:t>
            </w:r>
          </w:p>
        </w:tc>
        <w:tc>
          <w:tcPr>
            <w:vAlign w:val="center"/>
          </w:tcPr>
          <w:p>
            <w:r>
              <w:t>941</w:t>
            </w:r>
          </w:p>
        </w:tc>
        <w:tc>
          <w:tcPr>
            <w:vAlign w:val="center"/>
          </w:tcPr>
          <w:p>
            <w:r>
              <w:t>2616</w:t>
            </w:r>
          </w:p>
        </w:tc>
        <w:tc>
          <w:tcPr>
            <w:vAlign w:val="center"/>
          </w:tcPr>
          <w:p>
            <w:r>
              <w:t>2462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r>
              <w:t>合计</w:t>
            </w:r>
          </w:p>
        </w:tc>
        <w:tc>
          <w:tcPr>
            <w:vAlign w:val="center"/>
          </w:tcPr>
          <w:p>
            <w:r>
              <w:t>3325</w:t>
            </w:r>
          </w:p>
        </w:tc>
      </w:tr>
    </w:tbl>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1484</w:t>
            </w:r>
          </w:p>
        </w:tc>
        <w:tc>
          <w:tcPr>
            <w:vAlign w:val="center"/>
          </w:tcPr>
          <w:p>
            <w:r>
              <w:t>1.08</w:t>
            </w:r>
          </w:p>
        </w:tc>
        <w:tc>
          <w:tcPr>
            <w:vAlign w:val="center"/>
          </w:tcPr>
          <w:p>
            <w:r>
              <w:t>0.24</w:t>
            </w:r>
          </w:p>
        </w:tc>
        <w:tc>
          <w:tcPr>
            <w:vAlign w:val="center"/>
          </w:tcPr>
          <w:p>
            <w:r>
              <w:t>356</w:t>
            </w:r>
          </w:p>
        </w:tc>
        <w:tc>
          <w:tcPr>
            <w:vAlign w:val="center"/>
          </w:tcPr>
          <w:p>
            <w:r>
              <w:t>2616</w:t>
            </w:r>
          </w:p>
        </w:tc>
        <w:tc>
          <w:tcPr>
            <w:vAlign w:val="center"/>
          </w:tcPr>
          <w:p>
            <w:r>
              <w:t>932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Sys0</w:t>
            </w:r>
          </w:p>
        </w:tc>
        <w:tc>
          <w:tcPr>
            <w:vAlign w:val="center"/>
          </w:tcPr>
          <w:p>
            <w:r>
              <w:t>3137</w:t>
            </w:r>
          </w:p>
        </w:tc>
        <w:tc>
          <w:tcPr>
            <w:vAlign w:val="center"/>
          </w:tcPr>
          <w:p>
            <w:r>
              <w:t>0.8</w:t>
            </w:r>
          </w:p>
        </w:tc>
        <w:tc>
          <w:tcPr>
            <w:vAlign w:val="center"/>
          </w:tcPr>
          <w:p>
            <w:r>
              <w:t>0.24</w:t>
            </w:r>
          </w:p>
        </w:tc>
        <w:tc>
          <w:tcPr>
            <w:vAlign w:val="center"/>
          </w:tcPr>
          <w:p>
            <w:r>
              <w:t>753</w:t>
            </w:r>
          </w:p>
        </w:tc>
        <w:tc>
          <w:tcPr>
            <w:vAlign w:val="center"/>
          </w:tcPr>
          <w:p>
            <w:r>
              <w:t>2616</w:t>
            </w:r>
          </w:p>
        </w:tc>
        <w:tc>
          <w:tcPr>
            <w:vAlign w:val="center"/>
          </w:tcPr>
          <w:p>
            <w:r>
              <w:t>1970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r>
              <w:t>合计</w:t>
            </w:r>
          </w:p>
        </w:tc>
        <w:tc>
          <w:tcPr>
            <w:vAlign w:val="center"/>
          </w:tcPr>
          <w:p>
            <w:r>
              <w:t>2901</w:t>
            </w:r>
          </w:p>
        </w:tc>
      </w:tr>
    </w:tbl>
    <w:p>
      <w:pPr>
        <w:pStyle w:val="4"/>
        <w:widowControl w:val="0"/>
        <w:jc w:val="both"/>
        <w:rPr>
          <w:color w:val="000000"/>
        </w:rPr>
      </w:pPr>
      <w:bookmarkStart w:id="79" w:name="_Toc5529"/>
      <w:r>
        <w:rPr>
          <w:color w:val="000000"/>
        </w:rPr>
        <w:t>照明</w:t>
      </w:r>
      <w:bookmarkEnd w:id="79"/>
    </w:p>
    <w:tbl>
      <w:tblPr>
        <w:tblStyle w:val="19"/>
        <w:tblW w:w="935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35"/>
        <w:gridCol w:w="1697"/>
        <w:gridCol w:w="1131"/>
        <w:gridCol w:w="1522"/>
        <w:gridCol w:w="18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房间个数</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办公-普通办公室</w:t>
            </w:r>
          </w:p>
        </w:tc>
        <w:tc>
          <w:tcPr>
            <w:vAlign w:val="center"/>
          </w:tcPr>
          <w:p>
            <w:r>
              <w:t>15.12</w:t>
            </w:r>
          </w:p>
        </w:tc>
        <w:tc>
          <w:tcPr>
            <w:vAlign w:val="center"/>
          </w:tcPr>
          <w:p>
            <w:r>
              <w:t>23</w:t>
            </w:r>
          </w:p>
        </w:tc>
        <w:tc>
          <w:tcPr>
            <w:vAlign w:val="center"/>
          </w:tcPr>
          <w:p>
            <w:r>
              <w:t>1412</w:t>
            </w:r>
          </w:p>
        </w:tc>
        <w:tc>
          <w:tcPr>
            <w:vAlign w:val="center"/>
          </w:tcPr>
          <w:p>
            <w:r>
              <w:t>21352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总计</w:t>
            </w:r>
          </w:p>
        </w:tc>
        <w:tc>
          <w:tcPr>
            <w:vAlign w:val="center"/>
          </w:tcPr>
          <w:p>
            <w:r>
              <w:t>21352</w:t>
            </w:r>
          </w:p>
        </w:tc>
      </w:tr>
    </w:tbl>
    <w:p>
      <w:pPr>
        <w:pStyle w:val="4"/>
        <w:widowControl w:val="0"/>
        <w:jc w:val="both"/>
        <w:rPr>
          <w:color w:val="000000"/>
        </w:rPr>
      </w:pPr>
      <w:bookmarkStart w:id="80" w:name="_Toc4106"/>
      <w:r>
        <w:rPr>
          <w:color w:val="000000"/>
        </w:rPr>
        <w:t>逐月电耗</w:t>
      </w:r>
      <w:bookmarkEnd w:id="80"/>
    </w:p>
    <w:p>
      <w:pPr>
        <w:widowControl w:val="0"/>
        <w:jc w:val="both"/>
        <w:rPr>
          <w:color w:val="000000"/>
        </w:rPr>
      </w:pPr>
      <w:r>
        <w:rPr>
          <w:color w:val="000000"/>
        </w:rP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6.25</w:t>
            </w:r>
          </w:p>
        </w:tc>
        <w:tc>
          <w:tcPr>
            <w:vAlign w:val="center"/>
          </w:tcPr>
          <w:p>
            <w:pPr>
              <w:jc w:val="right"/>
            </w:pPr>
            <w:r>
              <w:t>0.00</w:t>
            </w:r>
          </w:p>
        </w:tc>
        <w:tc>
          <w:tcPr>
            <w:vAlign w:val="center"/>
          </w:tcPr>
          <w:p>
            <w:pPr>
              <w:jc w:val="right"/>
            </w:pPr>
            <w:r>
              <w:t>1.30</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1.01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1.30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1.12</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4.80</w:t>
            </w:r>
          </w:p>
        </w:tc>
        <w:tc>
          <w:tcPr>
            <w:vAlign w:val="center"/>
          </w:tcPr>
          <w:p>
            <w:pPr>
              <w:jc w:val="right"/>
            </w:pPr>
            <w:r>
              <w:t>0.00</w:t>
            </w:r>
          </w:p>
        </w:tc>
        <w:tc>
          <w:tcPr>
            <w:vAlign w:val="center"/>
          </w:tcPr>
          <w:p>
            <w:pPr>
              <w:jc w:val="right"/>
            </w:pPr>
            <w:r>
              <w:t>0.00</w:t>
            </w:r>
          </w:p>
        </w:tc>
        <w:tc>
          <w:tcPr>
            <w:vAlign w:val="center"/>
          </w:tcPr>
          <w:p>
            <w:pPr>
              <w:jc w:val="right"/>
            </w:pPr>
            <w:r>
              <w:t>1.36</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8.02</w:t>
            </w:r>
          </w:p>
        </w:tc>
        <w:tc>
          <w:tcPr>
            <w:vAlign w:val="center"/>
          </w:tcPr>
          <w:p>
            <w:pPr>
              <w:jc w:val="right"/>
            </w:pPr>
            <w:r>
              <w:t>0.00</w:t>
            </w:r>
          </w:p>
        </w:tc>
        <w:tc>
          <w:tcPr>
            <w:vAlign w:val="center"/>
          </w:tcPr>
          <w:p>
            <w:pPr>
              <w:jc w:val="right"/>
            </w:pPr>
            <w:r>
              <w:t>0.00</w:t>
            </w:r>
          </w:p>
        </w:tc>
        <w:tc>
          <w:tcPr>
            <w:vAlign w:val="center"/>
          </w:tcPr>
          <w:p>
            <w:pPr>
              <w:jc w:val="right"/>
            </w:pPr>
            <w:r>
              <w:t>1.30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1.18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1.18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2.87</w:t>
            </w:r>
          </w:p>
        </w:tc>
        <w:tc>
          <w:tcPr>
            <w:vAlign w:val="center"/>
          </w:tcPr>
          <w:p>
            <w:pPr>
              <w:jc w:val="right"/>
            </w:pPr>
            <w:r>
              <w:t>0.00</w:t>
            </w:r>
          </w:p>
        </w:tc>
        <w:tc>
          <w:tcPr>
            <w:vAlign w:val="center"/>
          </w:tcPr>
          <w:p>
            <w:pPr>
              <w:jc w:val="right"/>
            </w:pPr>
            <w:r>
              <w:t>1.30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12.82</w:t>
            </w:r>
          </w:p>
        </w:tc>
        <w:tc>
          <w:tcPr>
            <w:vAlign w:val="center"/>
          </w:tcPr>
          <w:p>
            <w:pPr>
              <w:jc w:val="right"/>
            </w:pPr>
            <w:r>
              <w:t>9.12</w:t>
            </w:r>
          </w:p>
        </w:tc>
        <w:tc>
          <w:tcPr>
            <w:vAlign w:val="center"/>
          </w:tcPr>
          <w:p>
            <w:pPr>
              <w:jc w:val="right"/>
            </w:pPr>
            <w:r>
              <w:t>0.00</w:t>
            </w:r>
          </w:p>
        </w:tc>
        <w:tc>
          <w:tcPr>
            <w:vAlign w:val="center"/>
          </w:tcPr>
          <w:p>
            <w:pPr>
              <w:jc w:val="right"/>
            </w:pPr>
            <w:r>
              <w:t>14.79</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rPr>
          <w:color w:val="000000"/>
        </w:rPr>
      </w:pPr>
      <w:bookmarkStart w:id="81" w:name="_Toc3420"/>
      <w:r>
        <w:rPr>
          <w:color w:val="000000"/>
        </w:rPr>
        <w:t>计算结果</w:t>
      </w:r>
      <w:bookmarkEnd w:id="81"/>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tcBorders>
              <w:top w:val="single" w:color="auto" w:sz="12" w:space="0"/>
            </w:tcBorders>
            <w:shd w:val="clear" w:color="auto" w:fill="E0E0E0"/>
            <w:vAlign w:val="center"/>
          </w:tcPr>
          <w:p>
            <w:pPr>
              <w:ind w:firstLine="0" w:firstLineChars="0"/>
              <w:jc w:val="center"/>
              <w:rPr>
                <w:lang w:val="en-US"/>
              </w:rPr>
            </w:pPr>
            <w:r>
              <w:rPr>
                <w:rFonts w:hint="eastAsia"/>
                <w:lang w:val="en-US"/>
              </w:rPr>
              <w:t>能耗分类</w:t>
            </w:r>
          </w:p>
        </w:tc>
        <w:tc>
          <w:tcPr>
            <w:tcW w:w="1479" w:type="pct"/>
            <w:tcBorders>
              <w:top w:val="single" w:color="auto" w:sz="12" w:space="0"/>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tcBorders>
              <w:top w:val="single" w:color="auto" w:sz="12" w:space="0"/>
            </w:tcBorders>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tcBorders>
              <w:top w:val="single" w:color="auto" w:sz="12" w:space="0"/>
            </w:tcBorders>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0" w:type="pct"/>
            <w:tcBorders>
              <w:top w:val="single" w:color="auto" w:sz="12" w:space="0"/>
            </w:tcBorders>
            <w:shd w:val="clear" w:color="auto" w:fill="E0E0E0"/>
            <w:vAlign w:val="center"/>
          </w:tcPr>
          <w:p>
            <w:pPr>
              <w:ind w:firstLine="0" w:firstLineChars="0"/>
              <w:jc w:val="center"/>
              <w:rPr>
                <w:lang w:val="en-US"/>
              </w:rPr>
            </w:pPr>
            <w:r>
              <w:rPr>
                <w:rFonts w:hint="eastAsia"/>
                <w:lang w:val="en-US"/>
              </w:rPr>
              <w:t>节能率</w:t>
            </w:r>
            <w:bookmarkEnd w:id="2"/>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耗冷量</w:t>
            </w:r>
          </w:p>
        </w:tc>
        <w:tc>
          <w:tcPr>
            <w:tcW w:w="877" w:type="pct"/>
            <w:vAlign w:val="center"/>
          </w:tcPr>
          <w:p>
            <w:pPr>
              <w:ind w:firstLine="0" w:firstLineChars="0"/>
              <w:jc w:val="center"/>
              <w:rPr>
                <w:lang w:val="en-US"/>
              </w:rPr>
            </w:pPr>
            <w:r>
              <w:rPr>
                <w:rFonts w:hint="eastAsia"/>
                <w:lang w:val="en-US"/>
              </w:rPr>
              <w:t>30.60</w:t>
            </w:r>
            <w:bookmarkEnd w:id="3"/>
          </w:p>
        </w:tc>
        <w:tc>
          <w:tcPr>
            <w:tcW w:w="877" w:type="pct"/>
            <w:vAlign w:val="center"/>
          </w:tcPr>
          <w:p>
            <w:pPr>
              <w:ind w:firstLine="0" w:firstLineChars="0"/>
              <w:jc w:val="center"/>
              <w:rPr>
                <w:lang w:val="en-US"/>
              </w:rPr>
            </w:pPr>
            <w:r>
              <w:rPr>
                <w:rFonts w:hint="eastAsia"/>
                <w:lang w:val="en-US"/>
              </w:rPr>
              <w:t>34.61</w:t>
            </w:r>
            <w:bookmarkEnd w:id="4"/>
          </w:p>
        </w:tc>
        <w:tc>
          <w:tcPr>
            <w:tcW w:w="960" w:type="pct"/>
            <w:vAlign w:val="center"/>
          </w:tcPr>
          <w:p>
            <w:pPr>
              <w:ind w:firstLine="0" w:firstLineChars="0"/>
              <w:jc w:val="center"/>
              <w:rPr>
                <w:lang w:val="en-US"/>
              </w:rPr>
            </w:pPr>
            <w:r>
              <w:rPr>
                <w:rFonts w:hint="eastAsia"/>
                <w:kern w:val="2"/>
                <w:szCs w:val="24"/>
                <w:lang w:val="en-US"/>
              </w:rPr>
              <w:t>11.59%</w:t>
            </w:r>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r>
              <w:rPr>
                <w:rFonts w:hint="eastAsia"/>
                <w:lang w:val="en-US"/>
              </w:rPr>
              <w:t>5.85</w:t>
            </w:r>
            <w:bookmarkEnd w:id="6"/>
          </w:p>
        </w:tc>
        <w:tc>
          <w:tcPr>
            <w:tcW w:w="877" w:type="pct"/>
            <w:vAlign w:val="center"/>
          </w:tcPr>
          <w:p>
            <w:pPr>
              <w:ind w:firstLine="0" w:firstLineChars="0"/>
              <w:jc w:val="center"/>
              <w:rPr>
                <w:lang w:val="en-US"/>
              </w:rPr>
            </w:pPr>
            <w:r>
              <w:rPr>
                <w:lang w:val="en-US"/>
              </w:rPr>
              <w:t>13.68</w:t>
            </w:r>
            <w:bookmarkEnd w:id="7"/>
          </w:p>
        </w:tc>
        <w:tc>
          <w:tcPr>
            <w:tcW w:w="960" w:type="pct"/>
            <w:vAlign w:val="center"/>
          </w:tcPr>
          <w:p>
            <w:pPr>
              <w:ind w:firstLine="0" w:firstLineChars="0"/>
              <w:jc w:val="center"/>
              <w:rPr>
                <w:lang w:val="en-US"/>
              </w:rPr>
            </w:pPr>
            <w:r>
              <w:rPr>
                <w:rFonts w:hint="eastAsia"/>
                <w:kern w:val="2"/>
                <w:szCs w:val="24"/>
                <w:lang w:val="en-US"/>
              </w:rPr>
              <w:t>57.26%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12" w:space="0"/>
            </w:tcBorders>
            <w:shd w:val="clear" w:color="auto" w:fill="E0E0E0"/>
            <w:vAlign w:val="center"/>
          </w:tcPr>
          <w:p>
            <w:pPr>
              <w:ind w:firstLine="0" w:firstLineChars="0"/>
              <w:jc w:val="center"/>
              <w:rPr>
                <w:lang w:val="en-US"/>
              </w:rPr>
            </w:pPr>
            <w:r>
              <w:rPr>
                <w:rFonts w:hint="eastAsia"/>
                <w:lang w:val="en-US"/>
              </w:rPr>
              <w:t>冷热合计</w:t>
            </w:r>
          </w:p>
        </w:tc>
        <w:tc>
          <w:tcPr>
            <w:tcW w:w="877" w:type="pct"/>
            <w:tcBorders>
              <w:bottom w:val="single" w:color="auto" w:sz="12" w:space="0"/>
            </w:tcBorders>
            <w:vAlign w:val="center"/>
          </w:tcPr>
          <w:p>
            <w:pPr>
              <w:ind w:firstLine="0" w:firstLineChars="0"/>
              <w:jc w:val="center"/>
              <w:rPr>
                <w:lang w:val="en-US"/>
              </w:rPr>
            </w:pPr>
            <w:r>
              <w:rPr>
                <w:rFonts w:hint="eastAsia"/>
                <w:lang w:val="en-US"/>
              </w:rPr>
              <w:t>36.44</w:t>
            </w:r>
            <w:bookmarkEnd w:id="9"/>
          </w:p>
        </w:tc>
        <w:tc>
          <w:tcPr>
            <w:tcW w:w="877" w:type="pct"/>
            <w:tcBorders>
              <w:bottom w:val="single" w:color="auto" w:sz="12" w:space="0"/>
            </w:tcBorders>
            <w:vAlign w:val="center"/>
          </w:tcPr>
          <w:p>
            <w:pPr>
              <w:ind w:firstLine="0" w:firstLineChars="0"/>
              <w:jc w:val="center"/>
              <w:rPr>
                <w:lang w:val="en-US"/>
              </w:rPr>
            </w:pPr>
            <w:r>
              <w:rPr>
                <w:rFonts w:hint="eastAsia"/>
                <w:lang w:val="en-US"/>
              </w:rPr>
              <w:t>48.29</w:t>
            </w:r>
            <w:bookmarkEnd w:id="10"/>
          </w:p>
        </w:tc>
        <w:tc>
          <w:tcPr>
            <w:tcW w:w="960" w:type="pct"/>
            <w:vAlign w:val="center"/>
          </w:tcPr>
          <w:p>
            <w:pPr>
              <w:ind w:firstLine="0" w:firstLineChars="0"/>
              <w:jc w:val="center"/>
              <w:rPr>
                <w:lang w:val="en-US"/>
              </w:rPr>
            </w:pPr>
            <w:r>
              <w:rPr>
                <w:rFonts w:hint="eastAsia"/>
                <w:kern w:val="2"/>
                <w:szCs w:val="24"/>
                <w:lang w:val="en-US"/>
              </w:rPr>
              <w:t>24.53%</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bottom w:val="single" w:color="auto" w:sz="12" w:space="0"/>
            </w:tcBorders>
            <w:shd w:val="clear" w:color="auto" w:fill="E0E0E0"/>
            <w:vAlign w:val="center"/>
          </w:tcPr>
          <w:p>
            <w:pPr>
              <w:ind w:firstLine="0" w:firstLineChars="0"/>
              <w:jc w:val="center"/>
              <w:rPr>
                <w:lang w:val="en-US"/>
              </w:rPr>
            </w:pPr>
            <w:r>
              <w:rPr>
                <w:rFonts w:hint="eastAsia"/>
                <w:lang w:val="en-US"/>
              </w:rPr>
              <w:t>热回收</w:t>
            </w:r>
            <w:r>
              <w:rPr>
                <w:lang w:val="en-US"/>
              </w:rPr>
              <w:t>负荷</w:t>
            </w:r>
          </w:p>
        </w:tc>
        <w:tc>
          <w:tcPr>
            <w:tcW w:w="1479" w:type="pct"/>
            <w:tcBorders>
              <w:top w:val="single" w:color="auto" w:sz="12" w:space="0"/>
              <w:bottom w:val="single" w:color="auto" w:sz="4" w:space="0"/>
            </w:tcBorders>
            <w:shd w:val="clear" w:color="auto" w:fill="FFFFFF"/>
            <w:vAlign w:val="center"/>
          </w:tcPr>
          <w:p>
            <w:pPr>
              <w:ind w:firstLine="0" w:firstLineChars="0"/>
              <w:jc w:val="center"/>
              <w:rPr>
                <w:lang w:val="en-US"/>
              </w:rPr>
            </w:pPr>
            <w:r>
              <w:rPr>
                <w:rFonts w:hint="eastAsia"/>
                <w:lang w:val="en-US"/>
              </w:rPr>
              <w:t>供冷</w:t>
            </w:r>
          </w:p>
        </w:tc>
        <w:tc>
          <w:tcPr>
            <w:tcW w:w="877" w:type="pct"/>
            <w:tcBorders>
              <w:top w:val="single" w:color="auto" w:sz="12" w:space="0"/>
              <w:bottom w:val="single" w:color="auto" w:sz="4" w:space="0"/>
            </w:tcBorders>
            <w:vAlign w:val="center"/>
          </w:tcPr>
          <w:p>
            <w:pPr>
              <w:ind w:firstLine="0" w:firstLineChars="0"/>
              <w:jc w:val="center"/>
              <w:rPr>
                <w:lang w:val="en-US"/>
              </w:rPr>
            </w:pPr>
            <w:r>
              <w:rPr>
                <w:rFonts w:hint="eastAsia"/>
                <w:lang w:val="en-US"/>
              </w:rPr>
              <w:t>2.38</w:t>
            </w:r>
          </w:p>
        </w:tc>
        <w:tc>
          <w:tcPr>
            <w:tcW w:w="877" w:type="pct"/>
            <w:tcBorders>
              <w:top w:val="single" w:color="auto" w:sz="12" w:space="0"/>
              <w:bottom w:val="single" w:color="auto" w:sz="4" w:space="0"/>
            </w:tcBorders>
            <w:vAlign w:val="center"/>
          </w:tcPr>
          <w:p>
            <w:pPr>
              <w:ind w:firstLine="0" w:firstLineChars="0"/>
              <w:jc w:val="center"/>
              <w:rPr>
                <w:lang w:val="en-US"/>
              </w:rPr>
            </w:pPr>
            <w:r>
              <w:rPr>
                <w:rFonts w:hint="eastAsia"/>
                <w:kern w:val="2"/>
                <w:szCs w:val="24"/>
                <w:lang w:val="en-US"/>
              </w:rPr>
              <w:t>－</w:t>
            </w:r>
          </w:p>
        </w:tc>
        <w:tc>
          <w:tcPr>
            <w:tcW w:w="960" w:type="pct"/>
            <w:tcBorders>
              <w:top w:val="single" w:color="auto" w:sz="12" w:space="0"/>
              <w:bottom w:val="single" w:color="auto" w:sz="4"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供暖</w:t>
            </w:r>
          </w:p>
        </w:tc>
        <w:tc>
          <w:tcPr>
            <w:tcW w:w="877" w:type="pct"/>
            <w:tcBorders>
              <w:top w:val="single" w:color="auto" w:sz="4" w:space="0"/>
              <w:bottom w:val="single" w:color="auto" w:sz="4" w:space="0"/>
            </w:tcBorders>
            <w:vAlign w:val="center"/>
          </w:tcPr>
          <w:p>
            <w:pPr>
              <w:ind w:firstLine="0" w:firstLineChars="0"/>
              <w:jc w:val="center"/>
              <w:rPr>
                <w:lang w:val="en-US"/>
              </w:rPr>
            </w:pPr>
            <w:r>
              <w:rPr>
                <w:rFonts w:hint="eastAsia"/>
                <w:lang w:val="en-US"/>
              </w:rPr>
              <w:t>4.62</w:t>
            </w:r>
            <w:bookmarkEnd w:id="13"/>
          </w:p>
        </w:tc>
        <w:tc>
          <w:tcPr>
            <w:tcW w:w="877" w:type="pct"/>
            <w:tcBorders>
              <w:top w:val="single" w:color="auto" w:sz="4" w:space="0"/>
              <w:bottom w:val="single" w:color="auto" w:sz="4" w:space="0"/>
            </w:tcBorders>
            <w:vAlign w:val="center"/>
          </w:tcPr>
          <w:p>
            <w:pPr>
              <w:ind w:firstLine="0" w:firstLineChars="0"/>
              <w:jc w:val="center"/>
              <w:rPr>
                <w:lang w:val="en-US"/>
              </w:rPr>
            </w:pPr>
            <w:r>
              <w:rPr>
                <w:rFonts w:hint="eastAsia"/>
                <w:kern w:val="2"/>
                <w:szCs w:val="24"/>
                <w:lang w:val="en-US"/>
              </w:rPr>
              <w:t>－</w:t>
            </w:r>
          </w:p>
        </w:tc>
        <w:tc>
          <w:tcPr>
            <w:tcW w:w="960" w:type="pct"/>
            <w:tcBorders>
              <w:bottom w:val="single" w:color="auto" w:sz="4"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12" w:space="0"/>
            </w:tcBorders>
            <w:shd w:val="clear" w:color="auto" w:fill="E0E0E0"/>
            <w:vAlign w:val="center"/>
          </w:tcPr>
          <w:p>
            <w:pPr>
              <w:ind w:firstLine="0" w:firstLineChars="0"/>
              <w:jc w:val="center"/>
              <w:rPr>
                <w:lang w:val="en-US"/>
              </w:rPr>
            </w:pPr>
            <w:r>
              <w:rPr>
                <w:rFonts w:hint="eastAsia"/>
                <w:lang w:val="en-US"/>
              </w:rPr>
              <w:t>冷热合计</w:t>
            </w:r>
          </w:p>
        </w:tc>
        <w:tc>
          <w:tcPr>
            <w:tcW w:w="877" w:type="pct"/>
            <w:tcBorders>
              <w:top w:val="single" w:color="auto" w:sz="4" w:space="0"/>
              <w:bottom w:val="single" w:color="auto" w:sz="12" w:space="0"/>
            </w:tcBorders>
            <w:vAlign w:val="center"/>
          </w:tcPr>
          <w:p>
            <w:pPr>
              <w:ind w:firstLine="0" w:firstLineChars="0"/>
              <w:jc w:val="center"/>
              <w:rPr>
                <w:lang w:val="en-US"/>
              </w:rPr>
            </w:pPr>
            <w:r>
              <w:rPr>
                <w:rFonts w:hint="eastAsia"/>
                <w:lang w:val="en-US"/>
              </w:rPr>
              <w:t>7.00</w:t>
            </w:r>
            <w:bookmarkEnd w:id="14"/>
          </w:p>
        </w:tc>
        <w:tc>
          <w:tcPr>
            <w:tcW w:w="877" w:type="pct"/>
            <w:tcBorders>
              <w:top w:val="single" w:color="auto" w:sz="4" w:space="0"/>
              <w:bottom w:val="single" w:color="auto" w:sz="12" w:space="0"/>
            </w:tcBorders>
            <w:vAlign w:val="center"/>
          </w:tcPr>
          <w:p>
            <w:pPr>
              <w:ind w:firstLine="0" w:firstLineChars="0"/>
              <w:jc w:val="center"/>
              <w:rPr>
                <w:lang w:val="en-US"/>
              </w:rPr>
            </w:pPr>
            <w:r>
              <w:rPr>
                <w:rFonts w:hint="eastAsia"/>
                <w:kern w:val="2"/>
                <w:szCs w:val="24"/>
                <w:lang w:val="en-US"/>
              </w:rPr>
              <w:t>－</w:t>
            </w:r>
          </w:p>
        </w:tc>
        <w:tc>
          <w:tcPr>
            <w:tcW w:w="960" w:type="pct"/>
            <w:tcBorders>
              <w:top w:val="single" w:color="auto" w:sz="4" w:space="0"/>
              <w:bottom w:val="single" w:color="auto" w:sz="12"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tcBorders>
            <w:shd w:val="clear" w:color="auto" w:fill="E0E0E0"/>
            <w:vAlign w:val="center"/>
          </w:tcPr>
          <w:p>
            <w:pPr>
              <w:ind w:firstLine="0" w:firstLineChars="0"/>
              <w:jc w:val="center"/>
              <w:rPr>
                <w:lang w:val="en-US"/>
              </w:rPr>
            </w:pPr>
            <w:r>
              <w:rPr>
                <w:rFonts w:hint="eastAsia"/>
                <w:lang w:val="en-US"/>
              </w:rPr>
              <w:t>供冷电耗</w:t>
            </w:r>
          </w:p>
        </w:tc>
        <w:tc>
          <w:tcPr>
            <w:tcW w:w="1479" w:type="pct"/>
            <w:tcBorders>
              <w:top w:val="single" w:color="auto" w:sz="12" w:space="0"/>
            </w:tcBorders>
            <w:vAlign w:val="center"/>
          </w:tcPr>
          <w:p>
            <w:pPr>
              <w:ind w:firstLine="0" w:firstLineChars="0"/>
              <w:jc w:val="center"/>
              <w:rPr>
                <w:lang w:val="en-US"/>
              </w:rPr>
            </w:pPr>
            <w:r>
              <w:rPr>
                <w:rFonts w:hint="eastAsia"/>
                <w:lang w:val="en-US"/>
              </w:rPr>
              <w:t>中央冷源</w:t>
            </w:r>
          </w:p>
        </w:tc>
        <w:tc>
          <w:tcPr>
            <w:tcW w:w="877" w:type="pct"/>
            <w:tcBorders>
              <w:top w:val="single" w:color="auto" w:sz="12" w:space="0"/>
            </w:tcBorders>
            <w:vAlign w:val="center"/>
          </w:tcPr>
          <w:p>
            <w:pPr>
              <w:ind w:firstLine="0" w:firstLineChars="0"/>
              <w:jc w:val="center"/>
              <w:rPr>
                <w:lang w:val="en-US"/>
              </w:rPr>
            </w:pPr>
            <w:r>
              <w:rPr>
                <w:lang w:val="en-US"/>
              </w:rPr>
              <w:t>0.00</w:t>
            </w:r>
            <w:bookmarkEnd w:id="15"/>
          </w:p>
        </w:tc>
        <w:tc>
          <w:tcPr>
            <w:tcW w:w="877" w:type="pct"/>
            <w:tcBorders>
              <w:top w:val="single" w:color="auto" w:sz="12" w:space="0"/>
            </w:tcBorders>
            <w:vAlign w:val="center"/>
          </w:tcPr>
          <w:p>
            <w:pPr>
              <w:ind w:firstLine="0" w:firstLineChars="0"/>
              <w:jc w:val="center"/>
              <w:rPr>
                <w:lang w:val="en-US"/>
              </w:rPr>
            </w:pPr>
            <w:r>
              <w:rPr>
                <w:lang w:val="en-US"/>
              </w:rPr>
              <w:t>0.00</w:t>
            </w:r>
            <w:bookmarkEnd w:id="16"/>
          </w:p>
        </w:tc>
        <w:tc>
          <w:tcPr>
            <w:tcW w:w="960" w:type="pct"/>
            <w:vMerge w:val="restart"/>
            <w:tcBorders>
              <w:top w:val="single" w:color="auto" w:sz="12" w:space="0"/>
            </w:tcBorders>
            <w:vAlign w:val="center"/>
          </w:tcPr>
          <w:p>
            <w:pPr>
              <w:ind w:firstLine="0" w:firstLineChars="0"/>
              <w:jc w:val="center"/>
              <w:rPr>
                <w:lang w:val="en-US"/>
              </w:rPr>
            </w:pPr>
            <w:r>
              <w:rPr>
                <w:lang w:val="en-US"/>
              </w:rPr>
              <w:t>14.75%</w:t>
            </w:r>
            <w:bookmarkEnd w:id="1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0.00</w:t>
            </w:r>
            <w:bookmarkEnd w:id="18"/>
          </w:p>
        </w:tc>
        <w:tc>
          <w:tcPr>
            <w:tcW w:w="877" w:type="pct"/>
            <w:vAlign w:val="center"/>
          </w:tcPr>
          <w:p>
            <w:pPr>
              <w:ind w:firstLine="0" w:firstLineChars="0"/>
              <w:jc w:val="center"/>
              <w:rPr>
                <w:lang w:val="en-US"/>
              </w:rPr>
            </w:pPr>
            <w:r>
              <w:rPr>
                <w:lang w:val="en-US"/>
              </w:rPr>
              <w:t>0.00</w:t>
            </w:r>
            <w:bookmarkEnd w:id="19"/>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0.00</w:t>
            </w:r>
            <w:bookmarkEnd w:id="20"/>
          </w:p>
        </w:tc>
        <w:tc>
          <w:tcPr>
            <w:tcW w:w="877" w:type="pct"/>
            <w:vAlign w:val="center"/>
          </w:tcPr>
          <w:p>
            <w:pPr>
              <w:ind w:firstLine="0" w:firstLineChars="0"/>
              <w:jc w:val="center"/>
              <w:rPr>
                <w:lang w:val="en-US"/>
              </w:rPr>
            </w:pPr>
            <w:r>
              <w:rPr>
                <w:lang w:val="en-US"/>
              </w:rPr>
              <w:t>0.00</w:t>
            </w:r>
            <w:bookmarkEnd w:id="2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w:t>
            </w:r>
            <w:r>
              <w:rPr>
                <w:lang w:val="en-US"/>
              </w:rPr>
              <w:t>塔</w:t>
            </w:r>
          </w:p>
        </w:tc>
        <w:tc>
          <w:tcPr>
            <w:tcW w:w="877" w:type="pct"/>
            <w:vAlign w:val="center"/>
          </w:tcPr>
          <w:p>
            <w:pPr>
              <w:ind w:firstLine="0" w:firstLineChars="0"/>
              <w:jc w:val="center"/>
              <w:rPr>
                <w:lang w:val="en-US"/>
              </w:rPr>
            </w:pPr>
            <w:r>
              <w:rPr>
                <w:rFonts w:hint="eastAsia"/>
                <w:lang w:val="en-US"/>
              </w:rPr>
              <w:t>0.00</w:t>
            </w:r>
            <w:bookmarkEnd w:id="22"/>
          </w:p>
        </w:tc>
        <w:tc>
          <w:tcPr>
            <w:tcW w:w="877" w:type="pct"/>
            <w:vAlign w:val="center"/>
          </w:tcPr>
          <w:p>
            <w:pPr>
              <w:ind w:firstLine="0" w:firstLineChars="0"/>
              <w:jc w:val="center"/>
              <w:rPr>
                <w:lang w:val="en-US"/>
              </w:rPr>
            </w:pPr>
            <w:r>
              <w:rPr>
                <w:rFonts w:hint="eastAsia"/>
                <w:lang w:val="en-US"/>
              </w:rPr>
              <w:t>0.00</w:t>
            </w:r>
            <w:bookmarkEnd w:id="2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10.93</w:t>
            </w:r>
            <w:bookmarkEnd w:id="24"/>
          </w:p>
        </w:tc>
        <w:tc>
          <w:tcPr>
            <w:tcW w:w="877" w:type="pct"/>
            <w:vAlign w:val="center"/>
          </w:tcPr>
          <w:p>
            <w:pPr>
              <w:ind w:firstLine="0" w:firstLineChars="0"/>
              <w:jc w:val="center"/>
              <w:rPr>
                <w:lang w:val="en-US"/>
              </w:rPr>
            </w:pPr>
            <w:r>
              <w:rPr>
                <w:lang w:val="en-US"/>
              </w:rPr>
              <w:t>12.82</w:t>
            </w:r>
            <w:bookmarkEnd w:id="25"/>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10.93</w:t>
            </w:r>
            <w:bookmarkEnd w:id="26"/>
          </w:p>
        </w:tc>
        <w:tc>
          <w:tcPr>
            <w:tcW w:w="877" w:type="pct"/>
            <w:vAlign w:val="center"/>
          </w:tcPr>
          <w:p>
            <w:pPr>
              <w:ind w:firstLine="0" w:firstLineChars="0"/>
              <w:jc w:val="center"/>
              <w:rPr>
                <w:lang w:val="en-US"/>
              </w:rPr>
            </w:pPr>
            <w:r>
              <w:rPr>
                <w:lang w:val="en-US"/>
              </w:rPr>
              <w:t>12.82</w:t>
            </w:r>
            <w:bookmarkEnd w:id="2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0.00</w:t>
            </w:r>
            <w:bookmarkEnd w:id="28"/>
          </w:p>
        </w:tc>
        <w:tc>
          <w:tcPr>
            <w:tcW w:w="877" w:type="pct"/>
            <w:vAlign w:val="center"/>
          </w:tcPr>
          <w:p>
            <w:pPr>
              <w:ind w:firstLine="0" w:firstLineChars="0"/>
              <w:jc w:val="center"/>
              <w:rPr>
                <w:lang w:val="en-US"/>
              </w:rPr>
            </w:pPr>
            <w:r>
              <w:rPr>
                <w:lang w:val="en-US"/>
              </w:rPr>
              <w:t>0.00</w:t>
            </w:r>
            <w:bookmarkEnd w:id="29"/>
          </w:p>
        </w:tc>
        <w:tc>
          <w:tcPr>
            <w:tcW w:w="960" w:type="pct"/>
            <w:vMerge w:val="restart"/>
            <w:vAlign w:val="center"/>
          </w:tcPr>
          <w:p>
            <w:pPr>
              <w:ind w:firstLine="0" w:firstLineChars="0"/>
              <w:jc w:val="center"/>
              <w:rPr>
                <w:lang w:val="en-US"/>
              </w:rPr>
            </w:pPr>
            <w:r>
              <w:rPr>
                <w:rFonts w:hint="eastAsia"/>
                <w:lang w:val="en-US"/>
              </w:rPr>
              <w:t>77.11%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0.00</w:t>
            </w:r>
            <w:bookmarkEnd w:id="30"/>
          </w:p>
        </w:tc>
        <w:tc>
          <w:tcPr>
            <w:tcW w:w="877" w:type="pct"/>
            <w:vAlign w:val="center"/>
          </w:tcPr>
          <w:p>
            <w:pPr>
              <w:ind w:firstLine="0" w:firstLineChars="0"/>
              <w:jc w:val="center"/>
              <w:rPr>
                <w:lang w:val="en-US"/>
              </w:rPr>
            </w:pPr>
            <w:r>
              <w:rPr>
                <w:lang w:val="en-US"/>
              </w:rPr>
              <w:t>0.00</w:t>
            </w:r>
            <w:bookmarkEnd w:id="32"/>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多联机/单元式热泵</w:t>
            </w:r>
          </w:p>
        </w:tc>
        <w:tc>
          <w:tcPr>
            <w:tcW w:w="877" w:type="pct"/>
            <w:vAlign w:val="center"/>
          </w:tcPr>
          <w:p>
            <w:pPr>
              <w:ind w:firstLine="0" w:firstLineChars="0"/>
              <w:jc w:val="center"/>
              <w:rPr>
                <w:lang w:val="en-US"/>
              </w:rPr>
            </w:pPr>
            <w:r>
              <w:rPr>
                <w:lang w:val="en-US"/>
              </w:rPr>
              <w:t>2.09</w:t>
            </w:r>
            <w:bookmarkEnd w:id="34"/>
          </w:p>
        </w:tc>
        <w:tc>
          <w:tcPr>
            <w:tcW w:w="877" w:type="pct"/>
            <w:vAlign w:val="center"/>
          </w:tcPr>
          <w:p>
            <w:pPr>
              <w:ind w:firstLine="0" w:firstLineChars="0"/>
              <w:jc w:val="center"/>
              <w:rPr>
                <w:lang w:val="en-US"/>
              </w:rPr>
            </w:pPr>
            <w:r>
              <w:rPr>
                <w:lang w:val="en-US"/>
              </w:rPr>
              <w:t>9.12</w:t>
            </w:r>
            <w:bookmarkEnd w:id="35"/>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2.09</w:t>
            </w:r>
            <w:bookmarkEnd w:id="37"/>
          </w:p>
        </w:tc>
        <w:tc>
          <w:tcPr>
            <w:tcW w:w="877" w:type="pct"/>
            <w:vAlign w:val="center"/>
          </w:tcPr>
          <w:p>
            <w:pPr>
              <w:ind w:firstLine="0" w:firstLineChars="0"/>
              <w:jc w:val="center"/>
              <w:rPr>
                <w:lang w:val="en-US"/>
              </w:rPr>
            </w:pPr>
            <w:r>
              <w:rPr>
                <w:lang w:val="en-US"/>
              </w:rPr>
              <w:t>9.12</w:t>
            </w:r>
            <w:bookmarkEnd w:id="38"/>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空调风机</w:t>
            </w:r>
            <w:bookmarkEnd w:id="39"/>
            <w:r>
              <w:rPr>
                <w:lang w:val="en-US"/>
              </w:rPr>
              <w:t>电耗</w:t>
            </w: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独立新排风</w:t>
            </w:r>
          </w:p>
        </w:tc>
        <w:tc>
          <w:tcPr>
            <w:tcW w:w="877" w:type="pct"/>
            <w:vAlign w:val="center"/>
          </w:tcPr>
          <w:p>
            <w:pPr>
              <w:ind w:firstLine="0" w:firstLineChars="0"/>
              <w:jc w:val="center"/>
              <w:rPr>
                <w:lang w:val="en-US"/>
              </w:rPr>
            </w:pPr>
            <w:r>
              <w:rPr>
                <w:rFonts w:hint="eastAsia"/>
                <w:lang w:val="en-US"/>
              </w:rPr>
              <w:t>4.31</w:t>
            </w:r>
            <w:bookmarkEnd w:id="40"/>
          </w:p>
        </w:tc>
        <w:tc>
          <w:tcPr>
            <w:tcW w:w="877" w:type="pct"/>
            <w:vAlign w:val="center"/>
          </w:tcPr>
          <w:p>
            <w:pPr>
              <w:ind w:firstLine="0" w:firstLineChars="0"/>
              <w:jc w:val="center"/>
              <w:rPr>
                <w:lang w:val="en-US"/>
              </w:rPr>
            </w:pPr>
            <w:r>
              <w:rPr>
                <w:lang w:val="en-US"/>
              </w:rPr>
              <w:t>4.31</w:t>
            </w:r>
            <w:bookmarkEnd w:id="44"/>
          </w:p>
        </w:tc>
        <w:tc>
          <w:tcPr>
            <w:tcW w:w="960" w:type="pct"/>
            <w:vMerge w:val="restart"/>
            <w:vAlign w:val="center"/>
          </w:tcPr>
          <w:p>
            <w:pPr>
              <w:ind w:firstLine="0" w:firstLineChars="0"/>
              <w:jc w:val="center"/>
              <w:rPr>
                <w:lang w:val="en-US"/>
              </w:rPr>
            </w:pPr>
            <w:r>
              <w:rPr>
                <w:rFonts w:hint="eastAsia"/>
                <w:lang w:val="en-US"/>
              </w:rPr>
              <w:t>0.00%</w:t>
            </w:r>
            <w:bookmarkEnd w:id="4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风机</w:t>
            </w:r>
            <w:r>
              <w:rPr>
                <w:lang w:val="en-US"/>
              </w:rPr>
              <w:t>盘管</w:t>
            </w:r>
          </w:p>
        </w:tc>
        <w:tc>
          <w:tcPr>
            <w:tcW w:w="877" w:type="pct"/>
            <w:vAlign w:val="center"/>
          </w:tcPr>
          <w:p>
            <w:pPr>
              <w:ind w:firstLine="0" w:firstLineChars="0"/>
              <w:jc w:val="center"/>
              <w:rPr>
                <w:lang w:val="en-US"/>
              </w:rPr>
            </w:pPr>
            <w:r>
              <w:rPr>
                <w:rFonts w:hint="eastAsia"/>
                <w:lang w:val="en-US"/>
              </w:rPr>
              <w:t>0.00</w:t>
            </w:r>
            <w:bookmarkEnd w:id="48"/>
          </w:p>
        </w:tc>
        <w:tc>
          <w:tcPr>
            <w:tcW w:w="877" w:type="pct"/>
            <w:vAlign w:val="center"/>
          </w:tcPr>
          <w:p>
            <w:pPr>
              <w:ind w:firstLine="0" w:firstLineChars="0"/>
              <w:jc w:val="center"/>
              <w:rPr>
                <w:lang w:val="en-US"/>
              </w:rPr>
            </w:pPr>
            <w:r>
              <w:rPr>
                <w:rFonts w:hint="eastAsia"/>
                <w:lang w:val="en-US"/>
              </w:rPr>
              <w:t>0.00</w:t>
            </w:r>
            <w:bookmarkEnd w:id="5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多联机</w:t>
            </w:r>
            <w:r>
              <w:rPr>
                <w:lang w:val="en-US"/>
              </w:rPr>
              <w:t>室内机</w:t>
            </w:r>
          </w:p>
        </w:tc>
        <w:tc>
          <w:tcPr>
            <w:tcW w:w="877" w:type="pct"/>
            <w:vAlign w:val="center"/>
          </w:tcPr>
          <w:p>
            <w:pPr>
              <w:ind w:firstLine="0" w:firstLineChars="0"/>
              <w:jc w:val="center"/>
              <w:rPr>
                <w:lang w:val="en-US"/>
              </w:rPr>
            </w:pPr>
            <w:bookmarkStart w:id="82" w:name="多联机室内机能耗"/>
            <w:r>
              <w:rPr>
                <w:rFonts w:hint="eastAsia"/>
                <w:lang w:val="en-US"/>
              </w:rPr>
              <w:t>0.00</w:t>
            </w:r>
            <w:bookmarkEnd w:id="82"/>
          </w:p>
        </w:tc>
        <w:tc>
          <w:tcPr>
            <w:tcW w:w="877" w:type="pct"/>
            <w:vAlign w:val="center"/>
          </w:tcPr>
          <w:p>
            <w:pPr>
              <w:ind w:firstLine="0" w:firstLineChars="0"/>
              <w:jc w:val="center"/>
              <w:rPr>
                <w:lang w:val="en-US"/>
              </w:rPr>
            </w:pPr>
            <w:bookmarkStart w:id="83" w:name="参照建筑多联机室内机能耗"/>
            <w:r>
              <w:rPr>
                <w:rFonts w:hint="eastAsia"/>
                <w:lang w:val="en-US"/>
              </w:rPr>
              <w:t>0.00</w:t>
            </w:r>
            <w:bookmarkEnd w:id="8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全空气系统</w:t>
            </w:r>
          </w:p>
        </w:tc>
        <w:tc>
          <w:tcPr>
            <w:tcW w:w="877" w:type="pct"/>
            <w:vAlign w:val="center"/>
          </w:tcPr>
          <w:p>
            <w:pPr>
              <w:ind w:firstLine="0" w:firstLineChars="0"/>
              <w:jc w:val="center"/>
              <w:rPr>
                <w:lang w:val="en-US"/>
              </w:rPr>
            </w:pPr>
            <w:bookmarkStart w:id="84" w:name="全空气系统能耗"/>
            <w:r>
              <w:rPr>
                <w:rFonts w:hint="eastAsia"/>
                <w:lang w:val="en-US"/>
              </w:rPr>
              <w:t>0.00</w:t>
            </w:r>
            <w:bookmarkEnd w:id="84"/>
          </w:p>
        </w:tc>
        <w:tc>
          <w:tcPr>
            <w:tcW w:w="877" w:type="pct"/>
            <w:vAlign w:val="center"/>
          </w:tcPr>
          <w:p>
            <w:pPr>
              <w:ind w:firstLine="0" w:firstLineChars="0"/>
              <w:jc w:val="center"/>
              <w:rPr>
                <w:lang w:val="en-US"/>
              </w:rPr>
            </w:pPr>
            <w:bookmarkStart w:id="85" w:name="参照建筑全空气系统能耗"/>
            <w:r>
              <w:rPr>
                <w:rFonts w:hint="eastAsia"/>
                <w:lang w:val="en-US"/>
              </w:rPr>
              <w:t>0.00</w:t>
            </w:r>
            <w:bookmarkEnd w:id="85"/>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风机</w:t>
            </w:r>
            <w:r>
              <w:rPr>
                <w:lang w:val="en-US"/>
              </w:rPr>
              <w:t>合计</w:t>
            </w:r>
          </w:p>
        </w:tc>
        <w:tc>
          <w:tcPr>
            <w:tcW w:w="877" w:type="pct"/>
            <w:vAlign w:val="center"/>
          </w:tcPr>
          <w:p>
            <w:pPr>
              <w:ind w:firstLine="0" w:firstLineChars="0"/>
              <w:jc w:val="center"/>
              <w:rPr>
                <w:lang w:val="en-US"/>
              </w:rPr>
            </w:pPr>
            <w:bookmarkStart w:id="86" w:name="空调动力能耗"/>
            <w:r>
              <w:rPr>
                <w:rFonts w:hint="eastAsia"/>
                <w:lang w:val="en-US"/>
              </w:rPr>
              <w:t>4.31</w:t>
            </w:r>
            <w:bookmarkEnd w:id="86"/>
          </w:p>
        </w:tc>
        <w:tc>
          <w:tcPr>
            <w:tcW w:w="877" w:type="pct"/>
            <w:vAlign w:val="center"/>
          </w:tcPr>
          <w:p>
            <w:pPr>
              <w:ind w:firstLine="0" w:firstLineChars="0"/>
              <w:jc w:val="center"/>
              <w:rPr>
                <w:lang w:val="en-US"/>
              </w:rPr>
            </w:pPr>
            <w:bookmarkStart w:id="87" w:name="参照建筑空调动力能耗"/>
            <w:r>
              <w:rPr>
                <w:rFonts w:hint="eastAsia"/>
                <w:lang w:val="en-US"/>
              </w:rPr>
              <w:t>4.31</w:t>
            </w:r>
            <w:bookmarkEnd w:id="8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采暖</w:t>
            </w:r>
            <w:r>
              <w:rPr>
                <w:lang w:val="en-US"/>
              </w:rPr>
              <w:t>空调电耗</w:t>
            </w:r>
          </w:p>
        </w:tc>
        <w:tc>
          <w:tcPr>
            <w:tcW w:w="877" w:type="pct"/>
            <w:vAlign w:val="center"/>
          </w:tcPr>
          <w:p>
            <w:pPr>
              <w:ind w:firstLine="0" w:firstLineChars="0"/>
              <w:jc w:val="center"/>
              <w:rPr>
                <w:lang w:val="en-US"/>
              </w:rPr>
            </w:pPr>
            <w:bookmarkStart w:id="88" w:name="空调供暖风机能耗"/>
            <w:r>
              <w:rPr>
                <w:rFonts w:hint="eastAsia"/>
                <w:lang w:val="en-US"/>
              </w:rPr>
              <w:t>17.33</w:t>
            </w:r>
            <w:bookmarkEnd w:id="88"/>
          </w:p>
        </w:tc>
        <w:tc>
          <w:tcPr>
            <w:tcW w:w="877" w:type="pct"/>
            <w:vAlign w:val="center"/>
          </w:tcPr>
          <w:p>
            <w:pPr>
              <w:ind w:firstLine="0" w:firstLineChars="0"/>
              <w:jc w:val="center"/>
              <w:rPr>
                <w:lang w:val="en-US"/>
              </w:rPr>
            </w:pPr>
            <w:bookmarkStart w:id="89" w:name="参照建筑空调供暖风机能耗"/>
            <w:r>
              <w:rPr>
                <w:lang w:val="en-US"/>
              </w:rPr>
              <w:t>26.25</w:t>
            </w:r>
            <w:bookmarkEnd w:id="89"/>
          </w:p>
        </w:tc>
        <w:tc>
          <w:tcPr>
            <w:tcW w:w="960" w:type="pct"/>
            <w:vAlign w:val="center"/>
          </w:tcPr>
          <w:p>
            <w:pPr>
              <w:ind w:firstLine="0" w:firstLineChars="0"/>
              <w:jc w:val="center"/>
              <w:rPr>
                <w:lang w:val="en-US"/>
              </w:rPr>
            </w:pPr>
            <w:bookmarkStart w:id="90" w:name="节能率空调供暖风机能耗"/>
            <w:r>
              <w:rPr>
                <w:rFonts w:hint="eastAsia"/>
                <w:lang w:val="en-US"/>
              </w:rPr>
              <w:t>33.99%</w:t>
            </w:r>
            <w:bookmarkEnd w:id="9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照明</w:t>
            </w:r>
            <w:r>
              <w:rPr>
                <w:lang w:val="en-US"/>
              </w:rPr>
              <w:t>电耗</w:t>
            </w:r>
          </w:p>
        </w:tc>
        <w:tc>
          <w:tcPr>
            <w:tcW w:w="877" w:type="pct"/>
            <w:vAlign w:val="center"/>
          </w:tcPr>
          <w:p>
            <w:pPr>
              <w:ind w:firstLine="0" w:firstLineChars="0"/>
              <w:jc w:val="center"/>
              <w:rPr>
                <w:lang w:val="en-US"/>
              </w:rPr>
            </w:pPr>
            <w:bookmarkStart w:id="91" w:name="照明能耗"/>
            <w:r>
              <w:rPr>
                <w:rFonts w:hint="eastAsia"/>
                <w:lang w:val="en-US"/>
              </w:rPr>
              <w:t>14.79</w:t>
            </w:r>
            <w:bookmarkEnd w:id="91"/>
          </w:p>
        </w:tc>
        <w:tc>
          <w:tcPr>
            <w:tcW w:w="877" w:type="pct"/>
            <w:vAlign w:val="center"/>
          </w:tcPr>
          <w:p>
            <w:pPr>
              <w:ind w:firstLine="0" w:firstLineChars="0"/>
              <w:jc w:val="center"/>
              <w:rPr>
                <w:lang w:val="en-US"/>
              </w:rPr>
            </w:pPr>
            <w:bookmarkStart w:id="92" w:name="参照建筑照明能耗"/>
            <w:r>
              <w:rPr>
                <w:rFonts w:hint="eastAsia"/>
                <w:lang w:val="en-US"/>
              </w:rPr>
              <w:t>14.79</w:t>
            </w:r>
            <w:bookmarkEnd w:id="92"/>
          </w:p>
        </w:tc>
        <w:tc>
          <w:tcPr>
            <w:tcW w:w="960" w:type="pct"/>
            <w:vAlign w:val="center"/>
          </w:tcPr>
          <w:p>
            <w:pPr>
              <w:ind w:firstLine="0" w:firstLineChars="0"/>
              <w:jc w:val="center"/>
              <w:rPr>
                <w:lang w:val="en-US"/>
              </w:rPr>
            </w:pPr>
            <w:bookmarkStart w:id="93" w:name="节能率照明能耗"/>
            <w:r>
              <w:rPr>
                <w:rFonts w:hint="eastAsia"/>
                <w:lang w:val="en-US"/>
              </w:rPr>
              <w:t>0.00%</w:t>
            </w:r>
            <w:bookmarkEnd w:id="9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tcBorders>
              <w:bottom w:val="single" w:color="auto" w:sz="12" w:space="0"/>
            </w:tcBorders>
            <w:shd w:val="clear" w:color="auto" w:fill="E0E0E0"/>
            <w:vAlign w:val="center"/>
          </w:tcPr>
          <w:p>
            <w:pPr>
              <w:ind w:firstLine="0" w:firstLineChars="0"/>
              <w:jc w:val="center"/>
              <w:rPr>
                <w:lang w:val="en-US"/>
              </w:rPr>
            </w:pPr>
            <w:r>
              <w:rPr>
                <w:rFonts w:hint="eastAsia"/>
                <w:lang w:val="en-US"/>
              </w:rPr>
              <w:t>建筑综合电耗</w:t>
            </w:r>
          </w:p>
        </w:tc>
        <w:tc>
          <w:tcPr>
            <w:tcW w:w="877" w:type="pct"/>
            <w:tcBorders>
              <w:bottom w:val="single" w:color="auto" w:sz="12" w:space="0"/>
            </w:tcBorders>
            <w:vAlign w:val="center"/>
          </w:tcPr>
          <w:p>
            <w:pPr>
              <w:ind w:firstLine="0" w:firstLineChars="0"/>
              <w:jc w:val="center"/>
              <w:rPr>
                <w:lang w:val="en-US"/>
              </w:rPr>
            </w:pPr>
            <w:bookmarkStart w:id="94" w:name="供暖空调照明风机能耗"/>
            <w:r>
              <w:rPr>
                <w:rFonts w:hint="eastAsia"/>
                <w:lang w:val="en-US"/>
              </w:rPr>
              <w:t>32.11</w:t>
            </w:r>
            <w:bookmarkEnd w:id="94"/>
          </w:p>
        </w:tc>
        <w:tc>
          <w:tcPr>
            <w:tcW w:w="877" w:type="pct"/>
            <w:tcBorders>
              <w:bottom w:val="single" w:color="auto" w:sz="12" w:space="0"/>
            </w:tcBorders>
            <w:vAlign w:val="center"/>
          </w:tcPr>
          <w:p>
            <w:pPr>
              <w:ind w:firstLine="0" w:firstLineChars="0"/>
              <w:jc w:val="center"/>
              <w:rPr>
                <w:lang w:val="en-US"/>
              </w:rPr>
            </w:pPr>
            <w:bookmarkStart w:id="95" w:name="参照建筑供暖空调照明风机能耗"/>
            <w:r>
              <w:rPr>
                <w:rFonts w:hint="eastAsia"/>
                <w:lang w:val="en-US"/>
              </w:rPr>
              <w:t>41.04</w:t>
            </w:r>
            <w:bookmarkEnd w:id="95"/>
          </w:p>
        </w:tc>
        <w:tc>
          <w:tcPr>
            <w:tcW w:w="960" w:type="pct"/>
            <w:tcBorders>
              <w:bottom w:val="single" w:color="auto" w:sz="12" w:space="0"/>
            </w:tcBorders>
            <w:vAlign w:val="center"/>
          </w:tcPr>
          <w:p>
            <w:pPr>
              <w:ind w:firstLine="0" w:firstLineChars="0"/>
              <w:jc w:val="center"/>
              <w:rPr>
                <w:lang w:val="en-US"/>
              </w:rPr>
            </w:pPr>
            <w:bookmarkStart w:id="96" w:name="节能率供暖空调照明风机能耗"/>
            <w:r>
              <w:rPr>
                <w:rFonts w:hint="eastAsia"/>
                <w:lang w:val="en-US"/>
              </w:rPr>
              <w:t>21.74%</w:t>
            </w:r>
            <w:bookmarkEnd w:id="96"/>
          </w:p>
        </w:tc>
      </w:tr>
    </w:tbl>
    <w:p/>
    <w:p>
      <w:pPr>
        <w:widowControl w:val="0"/>
        <w:jc w:val="both"/>
        <w:rPr>
          <w:color w:val="000000"/>
        </w:rPr>
      </w:pPr>
    </w:p>
    <w:p>
      <w:pPr>
        <w:pStyle w:val="2"/>
        <w:widowControl w:val="0"/>
        <w:jc w:val="both"/>
        <w:rPr>
          <w:color w:val="000000"/>
        </w:rPr>
      </w:pPr>
      <w:bookmarkStart w:id="97" w:name="_Toc13795"/>
      <w:r>
        <w:rPr>
          <w:color w:val="000000"/>
        </w:rPr>
        <w:t>绿色建筑性能评估得分</w:t>
      </w:r>
      <w:bookmarkEnd w:id="97"/>
    </w:p>
    <w:p>
      <w:pPr>
        <w:pStyle w:val="4"/>
        <w:widowControl w:val="0"/>
        <w:jc w:val="both"/>
        <w:rPr>
          <w:color w:val="000000"/>
        </w:rPr>
      </w:pPr>
      <w:bookmarkStart w:id="98" w:name="_Toc26506"/>
      <w:r>
        <w:rPr>
          <w:color w:val="000000"/>
        </w:rPr>
        <w:t>降低建筑能耗</w:t>
      </w:r>
      <w:bookmarkEnd w:id="98"/>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建筑能耗相比国家现行有关建筑节能标准降低10%</w:t>
            </w:r>
          </w:p>
        </w:tc>
        <w:tc>
          <w:tcPr>
            <w:vAlign w:val="center"/>
          </w:tcPr>
          <w:p>
            <w:r>
              <w:t>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建筑能耗相比国家现行有关建筑节能标准降低20%</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50378-2019第7.2.8条</w:t>
            </w:r>
          </w:p>
        </w:tc>
      </w:tr>
    </w:tbl>
    <w:p>
      <w:pPr>
        <w:pStyle w:val="4"/>
        <w:widowControl w:val="0"/>
        <w:jc w:val="both"/>
        <w:rPr>
          <w:color w:val="000000"/>
        </w:rPr>
      </w:pPr>
      <w:bookmarkStart w:id="99" w:name="_Toc27342"/>
      <w:r>
        <w:rPr>
          <w:color w:val="000000"/>
        </w:rPr>
        <w:t>降低建筑供暖空调系统能耗</w:t>
      </w:r>
      <w:bookmarkEnd w:id="99"/>
    </w:p>
    <w:p>
      <w:pPr>
        <w:widowControl w:val="0"/>
        <w:jc w:val="both"/>
        <w:rPr>
          <w:color w:val="000000"/>
        </w:rPr>
      </w:pPr>
      <w:r>
        <w:rPr>
          <w:color w:val="000000"/>
        </w:rPr>
        <w:t>建筑供暖空调系统能耗相比国家现行有关建筑节能标准降低幅度及对应得分情况：</w:t>
      </w:r>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降低40%</w:t>
            </w:r>
          </w:p>
        </w:tc>
        <w:tc>
          <w:tcPr>
            <w:vAlign w:val="center"/>
          </w:tcPr>
          <w:p>
            <w:r>
              <w:t>10</w:t>
            </w:r>
          </w:p>
        </w:tc>
        <w:tc>
          <w:tcPr>
            <w:vMerge w:val="restart"/>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降低50%</w:t>
            </w:r>
          </w:p>
        </w:tc>
        <w:tc>
          <w:tcPr>
            <w:vAlign w:val="center"/>
          </w:tcPr>
          <w:p>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降低60%</w:t>
            </w:r>
          </w:p>
        </w:tc>
        <w:tc>
          <w:tcPr>
            <w:vAlign w:val="center"/>
          </w:tcPr>
          <w:p>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降低70%</w:t>
            </w:r>
          </w:p>
        </w:tc>
        <w:tc>
          <w:tcPr>
            <w:vAlign w:val="center"/>
          </w:tcPr>
          <w:p>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降低80%</w:t>
            </w:r>
          </w:p>
        </w:tc>
        <w:tc>
          <w:tcPr>
            <w:vAlign w:val="center"/>
          </w:tcPr>
          <w:p>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50378-2019第9.2.1条</w:t>
            </w:r>
          </w:p>
        </w:tc>
      </w:tr>
    </w:tbl>
    <w:p>
      <w:pPr>
        <w:sectPr>
          <w:pgSz w:w="11906" w:h="16838"/>
          <w:pgMar w:top="1440" w:right="1418" w:bottom="1440" w:left="1418" w:header="851" w:footer="992" w:gutter="0"/>
          <w:cols w:space="425" w:num="1"/>
          <w:docGrid w:type="lines" w:linePitch="312" w:charSpace="0"/>
        </w:sectPr>
      </w:pPr>
    </w:p>
    <w:p>
      <w:pPr>
        <w:pStyle w:val="2"/>
        <w:widowControl w:val="0"/>
        <w:jc w:val="both"/>
        <w:rPr>
          <w:color w:val="000000"/>
        </w:rPr>
      </w:pPr>
      <w:bookmarkStart w:id="100" w:name="_Toc2701"/>
      <w:r>
        <w:rPr>
          <w:color w:val="000000"/>
        </w:rPr>
        <w:t>附录</w:t>
      </w:r>
      <w:bookmarkEnd w:id="100"/>
    </w:p>
    <w:p>
      <w:pPr>
        <w:pStyle w:val="4"/>
        <w:widowControl w:val="0"/>
        <w:jc w:val="both"/>
        <w:rPr>
          <w:color w:val="000000"/>
        </w:rPr>
      </w:pPr>
      <w:bookmarkStart w:id="101" w:name="_Toc6174"/>
      <w:r>
        <w:rPr>
          <w:color w:val="000000"/>
        </w:rPr>
        <w:t>工作日/节假日人员逐时在室率(%)</w:t>
      </w:r>
      <w:bookmarkEnd w:id="101"/>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widowControl w:val="0"/>
        <w:jc w:val="both"/>
        <w:rPr>
          <w:color w:val="000000"/>
        </w:rPr>
      </w:pPr>
    </w:p>
    <w:p>
      <w:r>
        <w:t>注：上行：工作日；下行：节假日</w:t>
      </w:r>
    </w:p>
    <w:p>
      <w:pPr>
        <w:pStyle w:val="4"/>
      </w:pPr>
      <w:bookmarkStart w:id="102" w:name="_Toc11442"/>
      <w:r>
        <w:t>工作日/节假日照明开关时间表(%)</w:t>
      </w:r>
      <w:bookmarkEnd w:id="102"/>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3" w:name="_Toc27660"/>
      <w:r>
        <w:t>工作日/节假日设备逐时使用率(%)</w:t>
      </w:r>
      <w:bookmarkEnd w:id="103"/>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4" w:name="_Toc22508"/>
      <w:r>
        <w:t>工作日/节假日空调系统运行时间表(1:开,0:关)</w:t>
      </w:r>
      <w:bookmarkEnd w:id="104"/>
    </w:p>
    <w:p>
      <w:r>
        <w:t>采暖期：</w:t>
      </w:r>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r>
        <w:t>供冷期：</w:t>
      </w:r>
    </w:p>
    <w:p/>
    <w:bookmarkEnd w:id="0"/>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4</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1E272900"/>
    <w:rsid w:val="365F4724"/>
    <w:rsid w:val="43492FF3"/>
    <w:rsid w:val="488E0C2F"/>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Char"/>
    <w:basedOn w:val="21"/>
    <w:link w:val="14"/>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绿色建筑节能率报告书.dotx</Template>
  <Company>ths</Company>
  <Pages>5</Pages>
  <Words>966</Words>
  <Characters>5507</Characters>
  <Lines>45</Lines>
  <Paragraphs>12</Paragraphs>
  <TotalTime>0</TotalTime>
  <ScaleCrop>false</ScaleCrop>
  <LinksUpToDate>false</LinksUpToDate>
  <CharactersWithSpaces>6461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2019-08-20T09:28:00Z</dcterms:created>
  <dc:creator>human</dc:creator>
  <cp:lastModifiedBy>细水长流</cp:lastModifiedBy>
  <cp:lastPrinted>1900-12-31T16:00:00Z</cp:lastPrinted>
  <dcterms:modified xsi:type="dcterms:W3CDTF">2022-01-06T12:03:35Z</dcterms:modified>
  <dc:title>综合能耗节能率计算书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AC8E7321053D4D528EE0AE8195F955F9</vt:lpwstr>
  </property>
</Properties>
</file>