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Start w:id="106" w:name="_GoBack"/>
      <w:bookmarkEnd w:id="106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一方·自习空间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山西-太原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  <w:lang w:val="en-US" w:eastAsia="zh-CN"/>
              </w:rPr>
              <w:t>BK40363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山西大学建筑学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山西大学建筑学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吴晓雯、王美清、王思敏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2021年12月21日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20200909(SP1)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T18603457859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_Toc10428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_Toc1979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_Toc1979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_Toc9447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_Toc9447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_Toc32156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_Toc32156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_Toc1733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_Toc1443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_Toc32105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_Toc32105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_Toc11938 </w:instrText>
      </w:r>
      <w:r>
        <w:fldChar w:fldCharType="separate"/>
      </w:r>
      <w:r>
        <w:rPr>
          <w:rFonts w:hint="eastAsia"/>
        </w:rPr>
        <w:t xml:space="preserve">4 </w:t>
      </w:r>
      <w:r>
        <w:t>建筑大样</w:t>
      </w:r>
      <w:r>
        <w:tab/>
      </w:r>
      <w:r>
        <w:fldChar w:fldCharType="begin"/>
      </w:r>
      <w:r>
        <w:instrText xml:space="preserve"> PAGEREF _Toc11938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_Toc12360 </w:instrText>
      </w:r>
      <w:r>
        <w:fldChar w:fldCharType="separate"/>
      </w:r>
      <w:r>
        <w:rPr>
          <w:rFonts w:hint="eastAsia"/>
        </w:rPr>
        <w:t xml:space="preserve">5 </w:t>
      </w:r>
      <w:r>
        <w:t>模型观察</w:t>
      </w:r>
      <w:r>
        <w:tab/>
      </w:r>
      <w:r>
        <w:fldChar w:fldCharType="begin"/>
      </w:r>
      <w:r>
        <w:instrText xml:space="preserve"> PAGEREF _Toc12360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_Toc3735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_Toc3735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_Toc8275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_Toc8275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_Toc8663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_Toc8663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_Toc782 </w:instrText>
      </w:r>
      <w:r>
        <w:fldChar w:fldCharType="separate"/>
      </w:r>
      <w:r>
        <w:rPr>
          <w:rFonts w:hint="eastAsia"/>
          <w:lang w:val="en-GB"/>
        </w:rPr>
        <w:t xml:space="preserve">6.3 </w:t>
      </w:r>
      <w:r>
        <w:t>体形系数</w:t>
      </w:r>
      <w:r>
        <w:tab/>
      </w:r>
      <w:r>
        <w:fldChar w:fldCharType="begin"/>
      </w:r>
      <w:r>
        <w:instrText xml:space="preserve"> PAGEREF _Toc782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_Toc20562 </w:instrText>
      </w:r>
      <w:r>
        <w:fldChar w:fldCharType="separate"/>
      </w:r>
      <w:r>
        <w:rPr>
          <w:rFonts w:hint="eastAsia"/>
          <w:lang w:val="en-GB"/>
        </w:rPr>
        <w:t xml:space="preserve">6.4 </w:t>
      </w:r>
      <w:r>
        <w:t>窗墙比</w:t>
      </w:r>
      <w:r>
        <w:tab/>
      </w:r>
      <w:r>
        <w:fldChar w:fldCharType="begin"/>
      </w:r>
      <w:r>
        <w:instrText xml:space="preserve"> PAGEREF _Toc20562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_Toc28479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6.4.1 </w:t>
      </w:r>
      <w:r>
        <w:t>窗墙比</w:t>
      </w:r>
      <w:r>
        <w:tab/>
      </w:r>
      <w:r>
        <w:fldChar w:fldCharType="begin"/>
      </w:r>
      <w:r>
        <w:instrText xml:space="preserve"> PAGEREF _Toc28479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6.4.2 </w:t>
      </w:r>
      <w:r>
        <w:t>外窗表</w:t>
      </w:r>
      <w:r>
        <w:tab/>
      </w:r>
      <w:r>
        <w:fldChar w:fldCharType="begin"/>
      </w:r>
      <w:r>
        <w:instrText xml:space="preserve"> PAGEREF _Toc12797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_Toc12325 </w:instrText>
      </w:r>
      <w:r>
        <w:fldChar w:fldCharType="separate"/>
      </w:r>
      <w:r>
        <w:rPr>
          <w:rFonts w:hint="eastAsia"/>
          <w:lang w:val="en-GB"/>
        </w:rPr>
        <w:t xml:space="preserve">6.5 </w:t>
      </w:r>
      <w:r>
        <w:t>可见光透射比</w:t>
      </w:r>
      <w:r>
        <w:tab/>
      </w:r>
      <w:r>
        <w:fldChar w:fldCharType="begin"/>
      </w:r>
      <w:r>
        <w:instrText xml:space="preserve"> PAGEREF _Toc12325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_Toc13238 </w:instrText>
      </w:r>
      <w:r>
        <w:fldChar w:fldCharType="separate"/>
      </w:r>
      <w:r>
        <w:rPr>
          <w:rFonts w:hint="eastAsia"/>
          <w:lang w:val="en-GB"/>
        </w:rPr>
        <w:t xml:space="preserve">6.6 </w:t>
      </w:r>
      <w:r>
        <w:t>天窗</w:t>
      </w:r>
      <w:r>
        <w:tab/>
      </w:r>
      <w:r>
        <w:fldChar w:fldCharType="begin"/>
      </w:r>
      <w:r>
        <w:instrText xml:space="preserve"> PAGEREF _Toc13238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_Toc31578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6.6.1 </w:t>
      </w:r>
      <w:r>
        <w:t>天窗屋顶比</w:t>
      </w:r>
      <w:r>
        <w:tab/>
      </w:r>
      <w:r>
        <w:fldChar w:fldCharType="begin"/>
      </w:r>
      <w:r>
        <w:instrText xml:space="preserve"> PAGEREF _Toc31578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6.6.2 </w:t>
      </w:r>
      <w:r>
        <w:t>天窗类型</w:t>
      </w:r>
      <w:r>
        <w:tab/>
      </w:r>
      <w:r>
        <w:fldChar w:fldCharType="begin"/>
      </w:r>
      <w:r>
        <w:instrText xml:space="preserve"> PAGEREF _Toc2073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_Toc26314 </w:instrText>
      </w:r>
      <w:r>
        <w:fldChar w:fldCharType="separate"/>
      </w:r>
      <w:r>
        <w:rPr>
          <w:rFonts w:hint="eastAsia"/>
          <w:lang w:val="en-GB"/>
        </w:rPr>
        <w:t xml:space="preserve">6.7 </w:t>
      </w:r>
      <w:r>
        <w:t>屋顶构造</w:t>
      </w:r>
      <w:r>
        <w:tab/>
      </w:r>
      <w:r>
        <w:fldChar w:fldCharType="begin"/>
      </w:r>
      <w:r>
        <w:instrText xml:space="preserve"> PAGEREF _Toc26314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6.7.1 </w:t>
      </w:r>
      <w:r>
        <w:t>屋顶构造一</w:t>
      </w:r>
      <w:r>
        <w:tab/>
      </w:r>
      <w:r>
        <w:fldChar w:fldCharType="begin"/>
      </w:r>
      <w:r>
        <w:instrText xml:space="preserve"> PAGEREF _Toc27675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_Toc10090 </w:instrText>
      </w:r>
      <w:r>
        <w:fldChar w:fldCharType="separate"/>
      </w:r>
      <w:r>
        <w:rPr>
          <w:rFonts w:hint="eastAsia"/>
          <w:lang w:val="en-GB"/>
        </w:rPr>
        <w:t xml:space="preserve">6.8 </w:t>
      </w:r>
      <w:r>
        <w:t>外墙构造</w:t>
      </w:r>
      <w:r>
        <w:tab/>
      </w:r>
      <w:r>
        <w:fldChar w:fldCharType="begin"/>
      </w:r>
      <w:r>
        <w:instrText xml:space="preserve"> PAGEREF _Toc10090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6.8.1 </w:t>
      </w:r>
      <w:r>
        <w:t>外墙构造一</w:t>
      </w:r>
      <w:r>
        <w:tab/>
      </w:r>
      <w:r>
        <w:fldChar w:fldCharType="begin"/>
      </w:r>
      <w:r>
        <w:instrText xml:space="preserve"> PAGEREF _Toc17771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6.8.2 </w:t>
      </w:r>
      <w:r>
        <w:t>外墙主断面传热系数的修正系数ψ</w:t>
      </w:r>
      <w:r>
        <w:tab/>
      </w:r>
      <w:r>
        <w:fldChar w:fldCharType="begin"/>
      </w:r>
      <w:r>
        <w:instrText xml:space="preserve"> PAGEREF _Toc9869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_Toc4327 </w:instrText>
      </w:r>
      <w:r>
        <w:fldChar w:fldCharType="separate"/>
      </w:r>
      <w:r>
        <w:rPr>
          <w:rFonts w:hint="eastAsia"/>
          <w:lang w:val="en-GB"/>
        </w:rPr>
        <w:t xml:space="preserve">6.9 </w:t>
      </w:r>
      <w:r>
        <w:t>挑空楼板构造</w:t>
      </w:r>
      <w:r>
        <w:tab/>
      </w:r>
      <w:r>
        <w:fldChar w:fldCharType="begin"/>
      </w:r>
      <w:r>
        <w:instrText xml:space="preserve"> PAGEREF _Toc4327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6.9.1 </w:t>
      </w:r>
      <w:r>
        <w:t>挑空楼板构造一</w:t>
      </w:r>
      <w:r>
        <w:tab/>
      </w:r>
      <w:r>
        <w:fldChar w:fldCharType="begin"/>
      </w:r>
      <w:r>
        <w:instrText xml:space="preserve"> PAGEREF _Toc11023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_Toc2467 </w:instrText>
      </w:r>
      <w:r>
        <w:fldChar w:fldCharType="separate"/>
      </w:r>
      <w:r>
        <w:rPr>
          <w:rFonts w:hint="eastAsia"/>
          <w:lang w:val="en-GB"/>
        </w:rPr>
        <w:t xml:space="preserve">6.10 </w:t>
      </w:r>
      <w:r>
        <w:t>采暖与非采暖隔墙</w:t>
      </w:r>
      <w:r>
        <w:tab/>
      </w:r>
      <w:r>
        <w:fldChar w:fldCharType="begin"/>
      </w:r>
      <w:r>
        <w:instrText xml:space="preserve"> PAGEREF _Toc2467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6.10.1 </w:t>
      </w:r>
      <w:r>
        <w:t>控温与非控温隔墙构造一</w:t>
      </w:r>
      <w:r>
        <w:tab/>
      </w:r>
      <w:r>
        <w:fldChar w:fldCharType="begin"/>
      </w:r>
      <w:r>
        <w:instrText xml:space="preserve"> PAGEREF _Toc31919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_Toc30046 </w:instrText>
      </w:r>
      <w:r>
        <w:fldChar w:fldCharType="separate"/>
      </w:r>
      <w:r>
        <w:rPr>
          <w:rFonts w:hint="eastAsia"/>
          <w:lang w:val="en-GB"/>
        </w:rPr>
        <w:t xml:space="preserve">6.11 </w:t>
      </w:r>
      <w:r>
        <w:t>地下车库与供暖房间之间的楼板</w:t>
      </w:r>
      <w:r>
        <w:tab/>
      </w:r>
      <w:r>
        <w:fldChar w:fldCharType="begin"/>
      </w:r>
      <w:r>
        <w:instrText xml:space="preserve"> PAGEREF _Toc30046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_Toc23368 </w:instrText>
      </w:r>
      <w:r>
        <w:fldChar w:fldCharType="separate"/>
      </w:r>
      <w:r>
        <w:rPr>
          <w:rFonts w:hint="eastAsia"/>
          <w:lang w:val="en-GB"/>
        </w:rPr>
        <w:t xml:space="preserve">6.12 </w:t>
      </w:r>
      <w:r>
        <w:t>外窗热工</w:t>
      </w:r>
      <w:r>
        <w:tab/>
      </w:r>
      <w:r>
        <w:fldChar w:fldCharType="begin"/>
      </w:r>
      <w:r>
        <w:instrText xml:space="preserve"> PAGEREF _Toc23368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6.12.1 </w:t>
      </w:r>
      <w:r>
        <w:t>外窗构造</w:t>
      </w:r>
      <w:r>
        <w:tab/>
      </w:r>
      <w:r>
        <w:fldChar w:fldCharType="begin"/>
      </w:r>
      <w:r>
        <w:instrText xml:space="preserve"> PAGEREF _Toc10578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_Toc12495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6.12.2 </w:t>
      </w:r>
      <w:r>
        <w:t>外遮阳类型</w:t>
      </w:r>
      <w:r>
        <w:tab/>
      </w:r>
      <w:r>
        <w:fldChar w:fldCharType="begin"/>
      </w:r>
      <w:r>
        <w:instrText xml:space="preserve"> PAGEREF _Toc12495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6.12.3 </w:t>
      </w:r>
      <w:r>
        <w:t>平均传热系数</w:t>
      </w:r>
      <w:r>
        <w:tab/>
      </w:r>
      <w:r>
        <w:fldChar w:fldCharType="begin"/>
      </w:r>
      <w:r>
        <w:instrText xml:space="preserve"> PAGEREF _Toc12988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_Toc23610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6.12.4 </w:t>
      </w:r>
      <w:r>
        <w:t>综合太阳得热系数</w:t>
      </w:r>
      <w:r>
        <w:tab/>
      </w:r>
      <w:r>
        <w:fldChar w:fldCharType="begin"/>
      </w:r>
      <w:r>
        <w:instrText xml:space="preserve"> PAGEREF _Toc23610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6.12.5 </w:t>
      </w:r>
      <w:r>
        <w:t>总体热工性能</w:t>
      </w:r>
      <w:r>
        <w:tab/>
      </w:r>
      <w:r>
        <w:fldChar w:fldCharType="begin"/>
      </w:r>
      <w:r>
        <w:instrText xml:space="preserve"> PAGEREF _Toc10399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_Toc9413 </w:instrText>
      </w:r>
      <w:r>
        <w:fldChar w:fldCharType="separate"/>
      </w:r>
      <w:r>
        <w:rPr>
          <w:rFonts w:hint="eastAsia"/>
          <w:lang w:val="en-GB"/>
        </w:rPr>
        <w:t xml:space="preserve">6.13 </w:t>
      </w:r>
      <w:r>
        <w:t>周边地面构造</w:t>
      </w:r>
      <w:r>
        <w:tab/>
      </w:r>
      <w:r>
        <w:fldChar w:fldCharType="begin"/>
      </w:r>
      <w:r>
        <w:instrText xml:space="preserve"> PAGEREF _Toc9413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_Toc6273 </w:instrText>
      </w:r>
      <w:r>
        <w:fldChar w:fldCharType="separate"/>
      </w:r>
      <w:r>
        <w:rPr>
          <w:rFonts w:hint="eastAsia"/>
          <w:lang w:val="en-GB"/>
        </w:rPr>
        <w:t xml:space="preserve">6.14 </w:t>
      </w:r>
      <w:r>
        <w:t>采暖地下室外墙构造</w:t>
      </w:r>
      <w:r>
        <w:tab/>
      </w:r>
      <w:r>
        <w:fldChar w:fldCharType="begin"/>
      </w:r>
      <w:r>
        <w:instrText xml:space="preserve"> PAGEREF _Toc6273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_Toc8237 </w:instrText>
      </w:r>
      <w:r>
        <w:fldChar w:fldCharType="separate"/>
      </w:r>
      <w:r>
        <w:rPr>
          <w:rFonts w:hint="eastAsia"/>
          <w:lang w:val="en-GB"/>
        </w:rPr>
        <w:t xml:space="preserve">6.15 </w:t>
      </w:r>
      <w:r>
        <w:t>变形缝</w:t>
      </w:r>
      <w:r>
        <w:tab/>
      </w:r>
      <w:r>
        <w:fldChar w:fldCharType="begin"/>
      </w:r>
      <w:r>
        <w:instrText xml:space="preserve"> PAGEREF _Toc8237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_Toc20027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_Toc20027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_Toc27599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房间表</w:t>
      </w:r>
      <w:r>
        <w:tab/>
      </w:r>
      <w:r>
        <w:fldChar w:fldCharType="begin"/>
      </w:r>
      <w:r>
        <w:instrText xml:space="preserve"> PAGEREF _Toc27599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_Toc30477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_Toc30477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_Toc22488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_Toc22488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_Toc25239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_Toc25239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_Toc23787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_Toc23787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冷水机组</w:t>
      </w:r>
      <w:r>
        <w:tab/>
      </w:r>
      <w:r>
        <w:fldChar w:fldCharType="begin"/>
      </w:r>
      <w:r>
        <w:instrText xml:space="preserve"> PAGEREF _Toc30828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水泵系统</w:t>
      </w:r>
      <w:r>
        <w:tab/>
      </w:r>
      <w:r>
        <w:fldChar w:fldCharType="begin"/>
      </w:r>
      <w:r>
        <w:instrText xml:space="preserve"> PAGEREF _Toc14302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运行工况</w:t>
      </w:r>
      <w:r>
        <w:tab/>
      </w:r>
      <w:r>
        <w:fldChar w:fldCharType="begin"/>
      </w:r>
      <w:r>
        <w:instrText xml:space="preserve"> PAGEREF _Toc28500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_Toc9347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制冷能耗</w:t>
      </w:r>
      <w:r>
        <w:tab/>
      </w:r>
      <w:r>
        <w:fldChar w:fldCharType="begin"/>
      </w:r>
      <w:r>
        <w:instrText xml:space="preserve"> PAGEREF _Toc9347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_Toc31603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_Toc31603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市政热力系统能耗</w:t>
      </w:r>
      <w:r>
        <w:tab/>
      </w:r>
      <w:r>
        <w:fldChar w:fldCharType="begin"/>
      </w:r>
      <w:r>
        <w:instrText xml:space="preserve"> PAGEREF _Toc14232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_Toc4859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_Toc4859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_Toc6479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_Toc9484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_Toc9484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_Toc11541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_Toc11541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_Toc15598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_Toc15598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_Toc22648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_Toc22648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_Toc7118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_Toc7118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_Toc27231 </w:instrText>
      </w:r>
      <w:r>
        <w:fldChar w:fldCharType="separate"/>
      </w:r>
      <w:r>
        <w:rPr>
          <w:rFonts w:hint="eastAsia"/>
        </w:rPr>
        <w:t xml:space="preserve">13 </w:t>
      </w:r>
      <w:r>
        <w:t>电梯</w:t>
      </w:r>
      <w:r>
        <w:tab/>
      </w:r>
      <w:r>
        <w:fldChar w:fldCharType="begin"/>
      </w:r>
      <w:r>
        <w:instrText xml:space="preserve"> PAGEREF _Toc27231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_Toc26014 </w:instrText>
      </w:r>
      <w:r>
        <w:fldChar w:fldCharType="separate"/>
      </w:r>
      <w:r>
        <w:rPr>
          <w:rFonts w:hint="eastAsia"/>
        </w:rPr>
        <w:t xml:space="preserve">14 </w:t>
      </w:r>
      <w:r>
        <w:t>光伏发电</w:t>
      </w:r>
      <w:r>
        <w:tab/>
      </w:r>
      <w:r>
        <w:fldChar w:fldCharType="begin"/>
      </w:r>
      <w:r>
        <w:instrText xml:space="preserve"> PAGEREF _Toc26014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_Toc27897 </w:instrText>
      </w:r>
      <w:r>
        <w:fldChar w:fldCharType="separate"/>
      </w:r>
      <w:r>
        <w:rPr>
          <w:rFonts w:hint="eastAsia"/>
        </w:rPr>
        <w:t xml:space="preserve">15 </w:t>
      </w:r>
      <w:r>
        <w:t>计算结果</w:t>
      </w:r>
      <w:r>
        <w:tab/>
      </w:r>
      <w:r>
        <w:fldChar w:fldCharType="begin"/>
      </w:r>
      <w:r>
        <w:instrText xml:space="preserve"> PAGEREF _Toc27897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_Toc8657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负荷分项统计</w:t>
      </w:r>
      <w:r>
        <w:tab/>
      </w:r>
      <w:r>
        <w:fldChar w:fldCharType="begin"/>
      </w:r>
      <w:r>
        <w:instrText xml:space="preserve"> PAGEREF _Toc8657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_Toc16384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逐月电耗</w:t>
      </w:r>
      <w:r>
        <w:tab/>
      </w:r>
      <w:r>
        <w:fldChar w:fldCharType="begin"/>
      </w:r>
      <w:r>
        <w:instrText xml:space="preserve"> PAGEREF _Toc16384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_Toc5887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全年能耗</w:t>
      </w:r>
      <w:r>
        <w:tab/>
      </w:r>
      <w:r>
        <w:fldChar w:fldCharType="begin"/>
      </w:r>
      <w:r>
        <w:instrText xml:space="preserve"> PAGEREF _Toc5887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_Toc1611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_Toc1611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_Toc192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_Toc2245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_Toc2245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_Toc22841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_Toc22841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_Toc577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_Toc577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0428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一方·自习空间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山西-太原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37.87°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112.53°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2902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9334.91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1964.13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bookmarkStart w:id="29" w:name="控温期"/>
            <w:r>
              <w:t>供冷期:6.14-8.31,供暖期:10.30-2.28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TitleFormat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地下车库与供暖房间之间的楼板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非供暖楼梯间与供暖房间之间的隔墙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K [W/(m2·K)]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1.97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围护结构概况"/>
    </w:p>
    <w:p>
      <w:pPr>
        <w:pStyle w:val="2"/>
      </w:pPr>
      <w:bookmarkStart w:id="32" w:name="_Toc1979"/>
      <w:r>
        <w:rPr>
          <w:rFonts w:hint="eastAsia"/>
        </w:rPr>
        <w:t>计算依据</w:t>
      </w:r>
      <w:bookmarkEnd w:id="32"/>
    </w:p>
    <w:p>
      <w:pPr>
        <w:pStyle w:val="3"/>
        <w:ind w:firstLine="0" w:firstLineChars="0"/>
        <w:rPr>
          <w:lang w:val="en-US"/>
        </w:rPr>
      </w:pPr>
      <w:bookmarkStart w:id="33" w:name="计算依据"/>
      <w:bookmarkEnd w:id="33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4" w:name="_Toc9447"/>
      <w:r>
        <w:rPr>
          <w:rFonts w:hint="eastAsia"/>
        </w:rPr>
        <w:t>气象数据</w:t>
      </w:r>
      <w:bookmarkEnd w:id="34"/>
    </w:p>
    <w:p>
      <w:pPr>
        <w:pStyle w:val="4"/>
      </w:pPr>
      <w:bookmarkStart w:id="35" w:name="_Toc32156"/>
      <w:r>
        <w:rPr>
          <w:rFonts w:hint="eastAsia"/>
        </w:rPr>
        <w:t>气象地点</w:t>
      </w:r>
      <w:bookmarkEnd w:id="35"/>
    </w:p>
    <w:p>
      <w:pPr>
        <w:pStyle w:val="3"/>
        <w:ind w:firstLine="420"/>
        <w:rPr>
          <w:lang w:val="en-US"/>
        </w:rPr>
      </w:pPr>
      <w:bookmarkStart w:id="36" w:name="气象数据来源"/>
      <w:r>
        <w:t>山西-太原, 《中国建筑热环境分析专用气象数据集》</w:t>
      </w:r>
      <w:bookmarkEnd w:id="36"/>
    </w:p>
    <w:p>
      <w:pPr>
        <w:pStyle w:val="4"/>
      </w:pPr>
      <w:bookmarkStart w:id="37" w:name="_Toc1733"/>
      <w:r>
        <w:rPr>
          <w:rFonts w:hint="eastAsia"/>
        </w:rPr>
        <w:t>逐日干球温度表</w:t>
      </w:r>
      <w:bookmarkEnd w:id="37"/>
    </w:p>
    <w:p>
      <w:pPr>
        <w:pStyle w:val="3"/>
        <w:ind w:firstLine="0" w:firstLineChars="0"/>
        <w:rPr>
          <w:lang w:val="en-US"/>
        </w:rPr>
      </w:pPr>
      <w:bookmarkStart w:id="38" w:name="日均干球温度变化表"/>
      <w:bookmarkEnd w:id="38"/>
    </w:p>
    <w:p>
      <w:pPr>
        <w:pStyle w:val="4"/>
      </w:pPr>
      <w:bookmarkStart w:id="39" w:name="_Toc1443"/>
      <w:r>
        <w:rPr>
          <w:rFonts w:hint="eastAsia"/>
        </w:rPr>
        <w:t>逐月辐照量表</w:t>
      </w:r>
      <w:bookmarkEnd w:id="39"/>
    </w:p>
    <w:p>
      <w:pPr>
        <w:pStyle w:val="3"/>
        <w:ind w:firstLine="0" w:firstLineChars="0"/>
        <w:rPr>
          <w:lang w:val="en-US"/>
        </w:rPr>
      </w:pPr>
      <w:bookmarkStart w:id="40" w:name="逐月辐照量图表"/>
      <w:bookmarkEnd w:id="40"/>
    </w:p>
    <w:p>
      <w:pPr>
        <w:pStyle w:val="4"/>
      </w:pPr>
      <w:bookmarkStart w:id="41" w:name="_Toc32105"/>
      <w:r>
        <w:rPr>
          <w:rFonts w:hint="eastAsia"/>
        </w:rPr>
        <w:t>峰值工况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07月09日16时</w:t>
            </w:r>
          </w:p>
        </w:tc>
        <w:tc>
          <w:tcPr>
            <w:vAlign w:val="center"/>
          </w:tcPr>
          <w:p>
            <w:r>
              <w:t>34.4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11.0</w:t>
            </w:r>
          </w:p>
        </w:tc>
        <w:tc>
          <w:tcPr>
            <w:vAlign w:val="center"/>
          </w:tcPr>
          <w:p>
            <w:r>
              <w:t>62.8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01月05日07时</w:t>
            </w:r>
          </w:p>
        </w:tc>
        <w:tc>
          <w:tcPr>
            <w:vAlign w:val="center"/>
          </w:tcPr>
          <w:p>
            <w:r>
              <w:t>-17.2</w:t>
            </w:r>
          </w:p>
        </w:tc>
        <w:tc>
          <w:tcPr>
            <w:vAlign w:val="center"/>
          </w:tcPr>
          <w:p>
            <w:r>
              <w:t>-17.8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-15.8</w:t>
            </w:r>
          </w:p>
        </w:tc>
      </w:tr>
    </w:tbl>
    <w:p>
      <w:pPr>
        <w:pStyle w:val="2"/>
        <w:widowControl w:val="0"/>
        <w:jc w:val="both"/>
      </w:pPr>
      <w:bookmarkStart w:id="42" w:name="气象峰值工况"/>
      <w:bookmarkEnd w:id="42"/>
      <w:bookmarkStart w:id="43" w:name="_Toc11938"/>
      <w:r>
        <w:t>建筑大样</w:t>
      </w:r>
      <w:bookmarkEnd w:id="43"/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左视图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右视图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4" w:name="_Toc12360"/>
      <w:r>
        <w:t>模型观察</w:t>
      </w:r>
      <w:bookmarkEnd w:id="44"/>
    </w:p>
    <w:p>
      <w:pPr>
        <w:widowControl w:val="0"/>
        <w:jc w:val="center"/>
      </w:pPr>
      <w:r>
        <w:drawing>
          <wp:inline distT="0" distB="0" distL="0" distR="0">
            <wp:extent cx="5667375" cy="28479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jc w:val="both"/>
      </w:pPr>
      <w:bookmarkStart w:id="45" w:name="_Toc3735"/>
      <w:r>
        <w:t>围护结构</w:t>
      </w:r>
      <w:bookmarkEnd w:id="45"/>
    </w:p>
    <w:p>
      <w:pPr>
        <w:pStyle w:val="4"/>
        <w:widowControl w:val="0"/>
        <w:jc w:val="both"/>
      </w:pPr>
      <w:bookmarkStart w:id="46" w:name="_Toc8275"/>
      <w: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水泥砂浆卧铺地砖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11.720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2032.0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聚合物砂浆网布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316.3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腹丝穿透钢丝网架模塑(P=15~30)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7" w:name="_Toc8663"/>
      <w:r>
        <w:t>围护结构作法简要说明</w:t>
      </w:r>
      <w:bookmarkEnd w:id="47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水泥砂浆卧铺地砖 40mm＋防水层 10mm＋水泥砂浆找平 20mm＋</w:t>
      </w:r>
      <w:r>
        <w:rPr>
          <w:color w:val="800000"/>
        </w:rPr>
        <w:t>挤塑聚苯板(XPS)(P=25~32) 65mm</w:t>
      </w:r>
      <w:r>
        <w:rPr>
          <w:color w:val="000000"/>
        </w:rPr>
        <w:t>＋白灰焦渣找坡层 70mm＋现浇钢筋砼板 100mm＋白灰砂浆面层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水泥抗裂砂浆 30mm＋</w:t>
      </w:r>
      <w:r>
        <w:rPr>
          <w:color w:val="800000"/>
        </w:rPr>
        <w:t>挤塑聚苯板(XPS)(P=25~32) 40mm</w:t>
      </w:r>
      <w:r>
        <w:rPr>
          <w:color w:val="000000"/>
        </w:rPr>
        <w:t>＋加气砼砌块 200mm＋白灰砂浆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水泥砂浆面层 20mm＋</w:t>
      </w:r>
      <w:r>
        <w:rPr>
          <w:color w:val="800080"/>
        </w:rPr>
        <w:t>现浇钢筋砼板 120mm</w:t>
      </w:r>
      <w:r>
        <w:rPr>
          <w:color w:val="000000"/>
        </w:rPr>
        <w:t>＋</w:t>
      </w:r>
      <w:r>
        <w:rPr>
          <w:color w:val="800000"/>
        </w:rPr>
        <w:t>腹丝穿透钢丝网架模塑(P=15~30) 110mm</w:t>
      </w:r>
      <w:r>
        <w:rPr>
          <w:color w:val="000000"/>
        </w:rPr>
        <w:t>＋聚合物抗裂砂浆(网格布) 5mm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水泥砂浆（1） 20mm＋加气砼砌块 200mm＋</w:t>
      </w:r>
      <w:r>
        <w:rPr>
          <w:color w:val="800000"/>
        </w:rPr>
        <w:t>挤塑聚苯板(XPS)(P=25~32) 35mm</w:t>
      </w:r>
      <w:r>
        <w:rPr>
          <w:color w:val="000000"/>
        </w:rPr>
        <w:t>＋水泥抗裂砂浆 30mm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平均+断桥铝合金窗框+Low-E中空玻璃（在线）+氩气厚度12mm：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传热系数2.000W/m^2.K，太阳得热系数0.202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下限+断桥铝合金窗框+Low-E中空玻璃（在线）+氩气厚度12mm：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传热系数1.900W/m^2.K，太阳得热系数0.202</w:t>
      </w:r>
    </w:p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48" w:name="_Toc782"/>
      <w:r>
        <w:rPr>
          <w:color w:val="000000"/>
        </w:rPr>
        <w:t>体形系数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1964.13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9334.91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49" w:name="_Toc20562"/>
      <w:r>
        <w:rPr>
          <w:color w:val="000000"/>
        </w:rPr>
        <w:t>窗墙比</w:t>
      </w:r>
      <w:bookmarkEnd w:id="49"/>
    </w:p>
    <w:p>
      <w:pPr>
        <w:pStyle w:val="5"/>
        <w:widowControl w:val="0"/>
        <w:jc w:val="both"/>
        <w:rPr>
          <w:color w:val="000000"/>
        </w:rPr>
      </w:pPr>
      <w:bookmarkStart w:id="50" w:name="_Toc28479"/>
      <w:r>
        <w:rPr>
          <w:color w:val="000000"/>
        </w:rPr>
        <w:t>窗墙比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220.74</w:t>
            </w:r>
          </w:p>
        </w:tc>
        <w:tc>
          <w:tcPr>
            <w:vAlign w:val="center"/>
          </w:tcPr>
          <w:p>
            <w:r>
              <w:t>480.97</w:t>
            </w:r>
          </w:p>
        </w:tc>
        <w:tc>
          <w:tcPr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183.84</w:t>
            </w:r>
          </w:p>
        </w:tc>
        <w:tc>
          <w:tcPr>
            <w:vAlign w:val="center"/>
          </w:tcPr>
          <w:p>
            <w:r>
              <w:t>583.22</w:t>
            </w:r>
          </w:p>
        </w:tc>
        <w:tc>
          <w:tcPr>
            <w:vAlign w:val="center"/>
          </w:tcPr>
          <w:p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61.62</w:t>
            </w:r>
          </w:p>
        </w:tc>
        <w:tc>
          <w:tcPr>
            <w:vAlign w:val="center"/>
          </w:tcPr>
          <w:p>
            <w:r>
              <w:t>416.25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85.38</w:t>
            </w:r>
          </w:p>
        </w:tc>
        <w:tc>
          <w:tcPr>
            <w:vAlign w:val="center"/>
          </w:tcPr>
          <w:p>
            <w:r>
              <w:t>434.14</w:t>
            </w:r>
          </w:p>
        </w:tc>
        <w:tc>
          <w:tcPr>
            <w:vAlign w:val="center"/>
          </w:tcPr>
          <w:p>
            <w:r>
              <w:t>0.20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51" w:name="_Toc12797"/>
      <w:r>
        <w:rPr>
          <w:color w:val="000000"/>
        </w:rPr>
        <w:t>外窗表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220.74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1.50×3.00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22.50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4.50×3.00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40.50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0.70×1.80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30.24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2.16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9.72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34.56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10.08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C2518</w:t>
            </w:r>
          </w:p>
        </w:tc>
        <w:tc>
          <w:tcPr>
            <w:vAlign w:val="center"/>
          </w:tcPr>
          <w:p>
            <w:r>
              <w:t>2.50×1.80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22.68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2.80×2.10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</w:t>
            </w:r>
          </w:p>
        </w:tc>
        <w:tc>
          <w:tcPr>
            <w:vAlign w:val="center"/>
          </w:tcPr>
          <w:p>
            <w:r>
              <w:t>11.76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C2918</w:t>
            </w:r>
          </w:p>
        </w:tc>
        <w:tc>
          <w:tcPr>
            <w:vAlign w:val="center"/>
          </w:tcPr>
          <w:p>
            <w:r>
              <w:t>2.90×1.80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5.22</w:t>
            </w:r>
          </w:p>
        </w:tc>
        <w:tc>
          <w:tcPr>
            <w:vAlign w:val="center"/>
          </w:tcPr>
          <w:p>
            <w:r>
              <w:t>10.44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183.84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0.70×1.80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97.20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10.08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22.68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2.80×2.10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</w:t>
            </w:r>
          </w:p>
        </w:tc>
        <w:tc>
          <w:tcPr>
            <w:vAlign w:val="center"/>
          </w:tcPr>
          <w:p>
            <w:r>
              <w:t>11.76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61.62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0.70×1.90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1.33</w:t>
            </w:r>
          </w:p>
        </w:tc>
        <w:tc>
          <w:tcPr>
            <w:vAlign w:val="center"/>
          </w:tcPr>
          <w:p>
            <w:r>
              <w:t>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0.90×1.80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1.50×0.60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C1516</w:t>
            </w:r>
          </w:p>
        </w:tc>
        <w:tc>
          <w:tcPr>
            <w:vAlign w:val="center"/>
          </w:tcPr>
          <w:p>
            <w:r>
              <w:t>1.50×1.60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1.80×1.90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</w:t>
            </w:r>
          </w:p>
        </w:tc>
        <w:tc>
          <w:tcPr>
            <w:vAlign w:val="center"/>
          </w:tcPr>
          <w:p>
            <w:r>
              <w:t>13.68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2.10×1.80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11.34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85.38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0.70×1.90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1.33</w:t>
            </w:r>
          </w:p>
        </w:tc>
        <w:tc>
          <w:tcPr>
            <w:vAlign w:val="center"/>
          </w:tcPr>
          <w:p>
            <w:r>
              <w:t>7.98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0.90×1.80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1.20×2.10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5.04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1.50×0.60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1.50×1.90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2.85</w:t>
            </w:r>
          </w:p>
        </w:tc>
        <w:tc>
          <w:tcPr>
            <w:vAlign w:val="center"/>
          </w:tcPr>
          <w:p>
            <w:r>
              <w:t>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19.44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1.80×1.90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</w:t>
            </w:r>
          </w:p>
        </w:tc>
        <w:tc>
          <w:tcPr>
            <w:vAlign w:val="center"/>
          </w:tcPr>
          <w:p>
            <w:r>
              <w:t>13.68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52" w:name="_Toc12325"/>
      <w:r>
        <w:rPr>
          <w:color w:val="000000"/>
        </w:rPr>
        <w:t>可见光透射比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53" w:name="_Toc13238"/>
      <w:r>
        <w:rPr>
          <w:color w:val="000000"/>
        </w:rPr>
        <w:t>天窗</w:t>
      </w:r>
      <w:bookmarkEnd w:id="53"/>
    </w:p>
    <w:p>
      <w:pPr>
        <w:pStyle w:val="5"/>
        <w:widowControl w:val="0"/>
        <w:jc w:val="both"/>
        <w:rPr>
          <w:color w:val="000000"/>
        </w:rPr>
      </w:pPr>
      <w:bookmarkStart w:id="54" w:name="_Toc31578"/>
      <w:r>
        <w:rPr>
          <w:color w:val="000000"/>
        </w:rPr>
        <w:t>天窗屋顶比</w:t>
      </w:r>
      <w:bookmarkEnd w:id="5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本工程无此项内容</w:t>
      </w:r>
    </w:p>
    <w:p>
      <w:pPr>
        <w:pStyle w:val="5"/>
        <w:widowControl w:val="0"/>
        <w:jc w:val="both"/>
        <w:rPr>
          <w:color w:val="000000"/>
        </w:rPr>
      </w:pPr>
      <w:bookmarkStart w:id="55" w:name="_Toc2073"/>
      <w:r>
        <w:rPr>
          <w:color w:val="000000"/>
        </w:rPr>
        <w:t>天窗类型</w:t>
      </w:r>
      <w:bookmarkEnd w:id="5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本工程无此项内容</w:t>
      </w:r>
    </w:p>
    <w:p>
      <w:pPr>
        <w:pStyle w:val="4"/>
        <w:widowControl w:val="0"/>
        <w:jc w:val="both"/>
        <w:rPr>
          <w:color w:val="000000"/>
        </w:rPr>
      </w:pPr>
      <w:bookmarkStart w:id="56" w:name="_Toc26314"/>
      <w:r>
        <w:rPr>
          <w:color w:val="000000"/>
        </w:rPr>
        <w:t>屋顶构造</w:t>
      </w:r>
      <w:bookmarkEnd w:id="56"/>
    </w:p>
    <w:p>
      <w:pPr>
        <w:pStyle w:val="5"/>
        <w:widowControl w:val="0"/>
        <w:jc w:val="both"/>
        <w:rPr>
          <w:color w:val="000000"/>
        </w:rPr>
      </w:pPr>
      <w:bookmarkStart w:id="57" w:name="_Toc27675"/>
      <w:r>
        <w:rPr>
          <w:color w:val="000000"/>
        </w:rPr>
        <w:t>屋顶构造一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水泥砂浆卧铺地砖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11.720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0.504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0.059</w:t>
            </w:r>
          </w:p>
        </w:tc>
        <w:tc>
          <w:tcPr>
            <w:vAlign w:val="center"/>
          </w:tcPr>
          <w:p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1.970</w:t>
            </w:r>
          </w:p>
        </w:tc>
        <w:tc>
          <w:tcPr>
            <w:vAlign w:val="center"/>
          </w:tcPr>
          <w:p>
            <w:r>
              <w:t>0.791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0.241</w:t>
            </w:r>
          </w:p>
        </w:tc>
        <w:tc>
          <w:tcPr>
            <w:vAlign w:val="center"/>
          </w:tcPr>
          <w:p>
            <w:r>
              <w:t>0.953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2.417</w:t>
            </w:r>
          </w:p>
        </w:tc>
        <w:tc>
          <w:tcPr>
            <w:vAlign w:val="center"/>
          </w:tcPr>
          <w:p>
            <w:r>
              <w:t>3.744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58" w:name="_Toc10090"/>
      <w:r>
        <w:rPr>
          <w:color w:val="000000"/>
        </w:rPr>
        <w:t>外墙构造</w:t>
      </w:r>
      <w:bookmarkEnd w:id="58"/>
    </w:p>
    <w:p>
      <w:pPr>
        <w:pStyle w:val="5"/>
        <w:widowControl w:val="0"/>
        <w:jc w:val="both"/>
        <w:rPr>
          <w:color w:val="000000"/>
        </w:rPr>
      </w:pPr>
      <w:bookmarkStart w:id="59" w:name="_Toc17771"/>
      <w:r>
        <w:rPr>
          <w:color w:val="000000"/>
        </w:rPr>
        <w:t>外墙构造一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1.212</w:t>
            </w:r>
          </w:p>
        </w:tc>
        <w:tc>
          <w:tcPr>
            <w:vAlign w:val="center"/>
          </w:tcPr>
          <w:p>
            <w:r>
              <w:t>0.487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2.269</w:t>
            </w:r>
          </w:p>
        </w:tc>
        <w:tc>
          <w:tcPr>
            <w:vAlign w:val="center"/>
          </w:tcPr>
          <w:p>
            <w:r>
              <w:t>4.531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0" w:name="_Toc9869"/>
      <w:r>
        <w:rPr>
          <w:color w:val="000000"/>
        </w:rPr>
        <w:t>外墙主断面传热系数的修正系数ψ</w:t>
      </w:r>
      <w:bookmarkEnd w:id="60"/>
    </w:p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61" w:name="_Toc4327"/>
      <w:r>
        <w:rPr>
          <w:color w:val="000000"/>
        </w:rPr>
        <w:t>挑空楼板构造</w:t>
      </w:r>
      <w:bookmarkEnd w:id="61"/>
    </w:p>
    <w:p>
      <w:pPr>
        <w:pStyle w:val="5"/>
        <w:widowControl w:val="0"/>
        <w:jc w:val="both"/>
        <w:rPr>
          <w:color w:val="000000"/>
        </w:rPr>
      </w:pPr>
      <w:bookmarkStart w:id="62" w:name="_Toc11023"/>
      <w:r>
        <w:rPr>
          <w:color w:val="000000"/>
        </w:rPr>
        <w:t>挑空楼板构造一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腹丝穿透钢丝网架模塑(P=15~30)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1.789</w:t>
            </w:r>
          </w:p>
        </w:tc>
        <w:tc>
          <w:tcPr>
            <w:vAlign w:val="center"/>
          </w:tcPr>
          <w:p>
            <w:r>
              <w:t>0.021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1.884</w:t>
            </w:r>
          </w:p>
        </w:tc>
        <w:tc>
          <w:tcPr>
            <w:vAlign w:val="center"/>
          </w:tcPr>
          <w:p>
            <w:r>
              <w:t>1.503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63" w:name="_Toc2467"/>
      <w:r>
        <w:rPr>
          <w:color w:val="000000"/>
        </w:rPr>
        <w:t>采暖与非采暖隔墙</w:t>
      </w:r>
      <w:bookmarkEnd w:id="63"/>
    </w:p>
    <w:p>
      <w:pPr>
        <w:pStyle w:val="5"/>
        <w:widowControl w:val="0"/>
        <w:jc w:val="both"/>
        <w:rPr>
          <w:color w:val="000000"/>
        </w:rPr>
      </w:pPr>
      <w:bookmarkStart w:id="64" w:name="_Toc31919"/>
      <w:r>
        <w:rPr>
          <w:color w:val="000000"/>
        </w:rPr>
        <w:t>控温与非控温隔墙构造一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1.061</w:t>
            </w:r>
          </w:p>
        </w:tc>
        <w:tc>
          <w:tcPr>
            <w:vAlign w:val="center"/>
          </w:tcPr>
          <w:p>
            <w:r>
              <w:t>0.426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2.114</w:t>
            </w:r>
          </w:p>
        </w:tc>
        <w:tc>
          <w:tcPr>
            <w:vAlign w:val="center"/>
          </w:tcPr>
          <w:p>
            <w:r>
              <w:t>4.450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0.44, D = 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65" w:name="_Toc30046"/>
      <w:r>
        <w:rPr>
          <w:color w:val="000000"/>
        </w:rPr>
        <w:t>地下车库与供暖房间之间的楼板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本工程无此项内容</w:t>
      </w:r>
    </w:p>
    <w:p>
      <w:pPr>
        <w:pStyle w:val="4"/>
        <w:widowControl w:val="0"/>
        <w:jc w:val="both"/>
        <w:rPr>
          <w:color w:val="000000"/>
        </w:rPr>
      </w:pPr>
      <w:bookmarkStart w:id="66" w:name="_Toc23368"/>
      <w:r>
        <w:rPr>
          <w:color w:val="000000"/>
        </w:rPr>
        <w:t>外窗热工</w:t>
      </w:r>
      <w:bookmarkEnd w:id="66"/>
    </w:p>
    <w:p>
      <w:pPr>
        <w:pStyle w:val="5"/>
        <w:widowControl w:val="0"/>
        <w:jc w:val="both"/>
        <w:rPr>
          <w:color w:val="000000"/>
        </w:rPr>
      </w:pPr>
      <w:bookmarkStart w:id="67" w:name="_Toc10578"/>
      <w:r>
        <w:rPr>
          <w:color w:val="000000"/>
        </w:rPr>
        <w:t>外窗构造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平均+断桥铝合金窗框+Low-E中空玻璃（在线）+氩气厚度12mm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下限+断桥铝合金窗框+Low-E中空玻璃（在线）+氩气厚度12mm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</w:rPr>
      </w:pPr>
      <w:bookmarkStart w:id="68" w:name="_Toc12495"/>
      <w:r>
        <w:rPr>
          <w:color w:val="000000"/>
        </w:rPr>
        <w:t>外遮阳类型</w:t>
      </w:r>
      <w:bookmarkEnd w:id="6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已启用环境遮阳</w:t>
      </w:r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</w:rPr>
      </w:pPr>
      <w:bookmarkStart w:id="69" w:name="_Toc12988"/>
      <w:r>
        <w:rPr>
          <w:color w:val="000000"/>
        </w:rPr>
        <w:t>平均传热系数</w:t>
      </w:r>
      <w:bookmarkEnd w:id="6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22.500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40.500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C2918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5.220</w:t>
            </w:r>
          </w:p>
        </w:tc>
        <w:tc>
          <w:tcPr>
            <w:vAlign w:val="center"/>
          </w:tcPr>
          <w:p>
            <w:r>
              <w:t>10.440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220.740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1.971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183.840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3.990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61.620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7.980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2.850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19.440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85.380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70" w:name="_Toc23610"/>
      <w:r>
        <w:rPr>
          <w:color w:val="000000"/>
        </w:rPr>
        <w:t>综合太阳得热系数</w:t>
      </w:r>
      <w:bookmarkEnd w:id="7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22.500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40.500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C2918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5.220</w:t>
            </w:r>
          </w:p>
        </w:tc>
        <w:tc>
          <w:tcPr>
            <w:vAlign w:val="center"/>
          </w:tcPr>
          <w:p>
            <w:r>
              <w:t>10.440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220.740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183.840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3.990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61.620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7.980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2.850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19.440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85.380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71" w:name="_Toc10399"/>
      <w:r>
        <w:rPr>
          <w:color w:val="000000"/>
        </w:rPr>
        <w:t>总体热工性能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451"/>
        <w:gridCol w:w="1564"/>
        <w:gridCol w:w="1678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220.74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183.84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61.62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85.38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551.58</w:t>
            </w:r>
          </w:p>
        </w:tc>
        <w:tc>
          <w:tcPr>
            <w:vAlign w:val="center"/>
          </w:tcPr>
          <w:p>
            <w:r>
              <w:t>1.99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</w:rPr>
      </w:pPr>
      <w:bookmarkStart w:id="72" w:name="_Toc9413"/>
      <w:r>
        <w:rPr>
          <w:color w:val="000000"/>
        </w:rPr>
        <w:t>周边地面构造</w:t>
      </w:r>
      <w:bookmarkEnd w:id="7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本工程无此项内容</w:t>
      </w:r>
    </w:p>
    <w:p>
      <w:pPr>
        <w:pStyle w:val="4"/>
        <w:widowControl w:val="0"/>
        <w:jc w:val="both"/>
        <w:rPr>
          <w:color w:val="000000"/>
        </w:rPr>
      </w:pPr>
      <w:bookmarkStart w:id="73" w:name="_Toc6273"/>
      <w:r>
        <w:rPr>
          <w:color w:val="000000"/>
        </w:rPr>
        <w:t>采暖地下室外墙构造</w:t>
      </w:r>
      <w:bookmarkEnd w:id="7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本工程无此项内容</w:t>
      </w:r>
    </w:p>
    <w:p>
      <w:pPr>
        <w:pStyle w:val="4"/>
        <w:widowControl w:val="0"/>
        <w:jc w:val="both"/>
        <w:rPr>
          <w:color w:val="000000"/>
        </w:rPr>
      </w:pPr>
      <w:bookmarkStart w:id="74" w:name="_Toc8237"/>
      <w:r>
        <w:rPr>
          <w:color w:val="000000"/>
        </w:rPr>
        <w:t>变形缝</w:t>
      </w:r>
      <w:bookmarkEnd w:id="7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本工程无此项内容</w:t>
      </w:r>
    </w:p>
    <w:p>
      <w:pPr>
        <w:pStyle w:val="2"/>
        <w:widowControl w:val="0"/>
        <w:jc w:val="both"/>
        <w:rPr>
          <w:color w:val="000000"/>
        </w:rPr>
      </w:pPr>
      <w:bookmarkStart w:id="75" w:name="_Toc20027"/>
      <w:r>
        <w:rPr>
          <w:color w:val="000000"/>
        </w:rPr>
        <w:t>房间类型</w:t>
      </w:r>
      <w:bookmarkEnd w:id="75"/>
    </w:p>
    <w:p>
      <w:pPr>
        <w:pStyle w:val="4"/>
        <w:widowControl w:val="0"/>
        <w:jc w:val="both"/>
        <w:rPr>
          <w:color w:val="000000"/>
        </w:rPr>
      </w:pPr>
      <w:bookmarkStart w:id="76" w:name="_Toc27599"/>
      <w:r>
        <w:rPr>
          <w:color w:val="000000"/>
        </w:rPr>
        <w:t>房间表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自习室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7" w:name="_Toc30477"/>
      <w:r>
        <w:rPr>
          <w:color w:val="000000"/>
        </w:rPr>
        <w:t>作息时间表</w:t>
      </w:r>
      <w:bookmarkEnd w:id="7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78" w:name="_Toc22488"/>
      <w:r>
        <w:rPr>
          <w:color w:val="000000"/>
        </w:rPr>
        <w:t>暖通空调系统</w:t>
      </w:r>
      <w:bookmarkEnd w:id="78"/>
    </w:p>
    <w:p>
      <w:pPr>
        <w:pStyle w:val="4"/>
        <w:widowControl w:val="0"/>
        <w:jc w:val="both"/>
        <w:rPr>
          <w:color w:val="000000"/>
        </w:rPr>
      </w:pPr>
      <w:bookmarkStart w:id="79" w:name="_Toc25239"/>
      <w:r>
        <w:rPr>
          <w:color w:val="000000"/>
        </w:rPr>
        <w:t>系统类型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2374.18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0" w:name="_Toc23787"/>
      <w:r>
        <w:rPr>
          <w:color w:val="000000"/>
        </w:rPr>
        <w:t>制冷系统</w:t>
      </w:r>
      <w:bookmarkEnd w:id="80"/>
    </w:p>
    <w:p>
      <w:pPr>
        <w:pStyle w:val="5"/>
        <w:widowControl w:val="0"/>
        <w:jc w:val="both"/>
        <w:rPr>
          <w:color w:val="000000"/>
        </w:rPr>
      </w:pPr>
      <w:bookmarkStart w:id="81" w:name="_Toc30828"/>
      <w:r>
        <w:rPr>
          <w:color w:val="000000"/>
        </w:rPr>
        <w:t>冷水机组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2" w:name="_Toc14302"/>
      <w:r>
        <w:rPr>
          <w:color w:val="000000"/>
        </w:rPr>
        <w:t>水泵系统</w:t>
      </w:r>
      <w:bookmarkEnd w:id="8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3" w:name="_Toc28500"/>
      <w:r>
        <w:rPr>
          <w:color w:val="000000"/>
        </w:rPr>
        <w:t>运行工况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4" w:name="_Toc9347"/>
      <w:r>
        <w:rPr>
          <w:color w:val="000000"/>
        </w:rPr>
        <w:t>制冷能耗</w:t>
      </w:r>
      <w:bookmarkEnd w:id="8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273"/>
        <w:gridCol w:w="1131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35910</w:t>
            </w:r>
          </w:p>
        </w:tc>
        <w:tc>
          <w:tcPr>
            <w:vAlign w:val="center"/>
          </w:tcPr>
          <w:p>
            <w:r>
              <w:t>412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8618</w:t>
            </w:r>
          </w:p>
        </w:tc>
        <w:tc>
          <w:tcPr>
            <w:vAlign w:val="center"/>
          </w:tcPr>
          <w:p>
            <w:r>
              <w:t>4120</w:t>
            </w:r>
          </w:p>
        </w:tc>
        <w:tc>
          <w:tcPr>
            <w:vAlign w:val="center"/>
          </w:tcPr>
          <w:p>
            <w:r>
              <w:t>3296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37778</w:t>
            </w:r>
          </w:p>
        </w:tc>
        <w:tc>
          <w:tcPr>
            <w:vAlign w:val="center"/>
          </w:tcPr>
          <w:p>
            <w:r>
              <w:t>248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8311</w:t>
            </w:r>
          </w:p>
        </w:tc>
        <w:tc>
          <w:tcPr>
            <w:vAlign w:val="center"/>
          </w:tcPr>
          <w:p>
            <w:r>
              <w:t>2480</w:t>
            </w:r>
          </w:p>
        </w:tc>
        <w:tc>
          <w:tcPr>
            <w:vAlign w:val="center"/>
          </w:tcPr>
          <w:p>
            <w:r>
              <w:t>1984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3446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689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769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154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77902</w:t>
            </w:r>
          </w:p>
        </w:tc>
        <w:tc>
          <w:tcPr>
            <w:vAlign w:val="center"/>
          </w:tcPr>
          <w:p>
            <w:r>
              <w:t>672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17772</w:t>
            </w:r>
          </w:p>
        </w:tc>
        <w:tc>
          <w:tcPr>
            <w:vAlign w:val="center"/>
          </w:tcPr>
          <w:p>
            <w:r>
              <w:t>6720</w:t>
            </w:r>
          </w:p>
        </w:tc>
        <w:tc>
          <w:tcPr>
            <w:vAlign w:val="center"/>
          </w:tcPr>
          <w:p>
            <w:r>
              <w:t>5376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5" w:name="_Toc31603"/>
      <w:r>
        <w:rPr>
          <w:color w:val="000000"/>
        </w:rPr>
        <w:t>供暖系统</w:t>
      </w:r>
      <w:bookmarkEnd w:id="85"/>
    </w:p>
    <w:p>
      <w:pPr>
        <w:pStyle w:val="5"/>
        <w:widowControl w:val="0"/>
        <w:jc w:val="both"/>
        <w:rPr>
          <w:color w:val="000000"/>
        </w:rPr>
      </w:pPr>
      <w:bookmarkStart w:id="86" w:name="_Toc14232"/>
      <w:r>
        <w:rPr>
          <w:color w:val="000000"/>
        </w:rPr>
        <w:t>市政热力系统能耗</w:t>
      </w:r>
      <w:bookmarkEnd w:id="8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0.00433</w:t>
            </w:r>
          </w:p>
        </w:tc>
        <w:tc>
          <w:tcPr>
            <w:vAlign w:val="center"/>
          </w:tcPr>
          <w:p>
            <w:r>
              <w:t>61592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22846</w:t>
            </w:r>
          </w:p>
        </w:tc>
        <w:tc>
          <w:tcPr>
            <w:vAlign w:val="center"/>
          </w:tcPr>
          <w:p>
            <w:r>
              <w:t>267</w:t>
            </w:r>
          </w:p>
        </w:tc>
        <w:tc>
          <w:tcPr>
            <w:vAlign w:val="center"/>
          </w:tcPr>
          <w:p>
            <w:r>
              <w:t>23113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7" w:name="_Toc4859"/>
      <w:r>
        <w:rPr>
          <w:color w:val="000000"/>
        </w:rPr>
        <w:t>空调风机</w:t>
      </w:r>
      <w:bookmarkEnd w:id="87"/>
    </w:p>
    <w:p>
      <w:pPr>
        <w:pStyle w:val="5"/>
        <w:widowControl w:val="0"/>
        <w:jc w:val="both"/>
        <w:rPr>
          <w:color w:val="000000"/>
        </w:rPr>
      </w:pPr>
      <w:bookmarkStart w:id="88" w:name="_Toc6479"/>
      <w:r>
        <w:rPr>
          <w:color w:val="000000"/>
        </w:rPr>
        <w:t>独立新排风</w:t>
      </w:r>
      <w:bookmarkEnd w:id="8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9780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2347</w:t>
            </w:r>
          </w:p>
        </w:tc>
        <w:tc>
          <w:tcPr>
            <w:vAlign w:val="center"/>
          </w:tcPr>
          <w:p>
            <w:r>
              <w:t>1680</w:t>
            </w:r>
          </w:p>
        </w:tc>
        <w:tc>
          <w:tcPr>
            <w:vAlign w:val="center"/>
          </w:tcPr>
          <w:p>
            <w:r>
              <w:t>3943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3943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7824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1878</w:t>
            </w:r>
          </w:p>
        </w:tc>
        <w:tc>
          <w:tcPr>
            <w:vAlign w:val="center"/>
          </w:tcPr>
          <w:p>
            <w:r>
              <w:t>1680</w:t>
            </w:r>
          </w:p>
        </w:tc>
        <w:tc>
          <w:tcPr>
            <w:vAlign w:val="center"/>
          </w:tcPr>
          <w:p>
            <w:r>
              <w:t>3155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3155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9" w:name="_Toc9484"/>
      <w:r>
        <w:rPr>
          <w:color w:val="000000"/>
        </w:rPr>
        <w:t>风机盘管</w:t>
      </w:r>
      <w:bookmarkEnd w:id="8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1676</w:t>
            </w:r>
          </w:p>
        </w:tc>
        <w:tc>
          <w:tcPr>
            <w:vAlign w:val="center"/>
          </w:tcPr>
          <w:p>
            <w:r>
              <w:t>670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670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0" w:name="_Toc11541"/>
      <w:r>
        <w:rPr>
          <w:color w:val="000000"/>
        </w:rPr>
        <w:t>照明</w:t>
      </w:r>
      <w:bookmarkEnd w:id="9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2176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15316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r>
              <w:t>60.44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1511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r>
              <w:t>60.44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6120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43.65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1637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353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自习室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1226</w:t>
            </w:r>
          </w:p>
        </w:tc>
        <w:tc>
          <w:tcPr>
            <w:vAlign w:val="center"/>
          </w:tcPr>
          <w:p>
            <w:r>
              <w:t>18532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45292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1" w:name="_Toc15598"/>
      <w:r>
        <w:rPr>
          <w:color w:val="000000"/>
        </w:rPr>
        <w:t>插座设备</w:t>
      </w:r>
      <w:bookmarkEnd w:id="9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11.06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35708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r>
              <w:t>7.30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r>
              <w:t>7.30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739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7.30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353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自习室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1226</w:t>
            </w:r>
          </w:p>
        </w:tc>
        <w:tc>
          <w:tcPr>
            <w:vAlign w:val="center"/>
          </w:tcPr>
          <w:p>
            <w:r>
              <w:t>43203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81033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2" w:name="_Toc22648"/>
      <w:r>
        <w:rPr>
          <w:color w:val="000000"/>
        </w:rPr>
        <w:t>排风机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>
      <w:pPr>
        <w:pStyle w:val="2"/>
        <w:widowControl w:val="0"/>
        <w:jc w:val="both"/>
        <w:rPr>
          <w:color w:val="000000"/>
        </w:rPr>
      </w:pPr>
      <w:bookmarkStart w:id="93" w:name="_Toc7118"/>
      <w:r>
        <w:rPr>
          <w:color w:val="000000"/>
        </w:rPr>
        <w:t>生活热水</w:t>
      </w:r>
      <w:bookmarkEnd w:id="9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热水温差(℃)：45, 日照辐照量(kJ/㎡.天)：16340，年运行天数：256</w:t>
      </w:r>
    </w:p>
    <w:tbl>
      <w:tblPr>
        <w:tblStyle w:val="18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7120.16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7120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4" w:name="_Toc27231"/>
      <w:r>
        <w:rPr>
          <w:color w:val="000000"/>
        </w:rPr>
        <w:t>电梯</w:t>
      </w:r>
      <w:bookmarkEnd w:id="9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2"/>
        <w:widowControl w:val="0"/>
        <w:jc w:val="both"/>
        <w:rPr>
          <w:color w:val="000000"/>
        </w:rPr>
      </w:pPr>
      <w:bookmarkStart w:id="95" w:name="_Toc26014"/>
      <w:r>
        <w:rPr>
          <w:color w:val="000000"/>
        </w:rPr>
        <w:t>光伏发电</w:t>
      </w:r>
      <w:bookmarkEnd w:id="9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6" w:name="_Toc27897"/>
      <w:r>
        <w:rPr>
          <w:color w:val="000000"/>
        </w:rPr>
        <w:t>计算结果</w:t>
      </w:r>
      <w:bookmarkEnd w:id="96"/>
    </w:p>
    <w:p>
      <w:pPr>
        <w:pStyle w:val="4"/>
        <w:widowControl w:val="0"/>
        <w:jc w:val="both"/>
        <w:rPr>
          <w:color w:val="000000"/>
        </w:rPr>
      </w:pPr>
      <w:bookmarkStart w:id="97" w:name="_Toc8657"/>
      <w:r>
        <w:rPr>
          <w:color w:val="000000"/>
        </w:rPr>
        <w:t>负荷分项统计</w:t>
      </w:r>
      <w:bookmarkEnd w:id="9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-15.30</w:t>
            </w:r>
          </w:p>
        </w:tc>
        <w:tc>
          <w:tcPr>
            <w:vAlign w:val="center"/>
          </w:tcPr>
          <w:p>
            <w:r>
              <w:t>13.71</w:t>
            </w:r>
          </w:p>
        </w:tc>
        <w:tc>
          <w:tcPr>
            <w:vAlign w:val="center"/>
          </w:tcPr>
          <w:p>
            <w:r>
              <w:t>2.04</w:t>
            </w:r>
          </w:p>
        </w:tc>
        <w:tc>
          <w:tcPr>
            <w:vAlign w:val="center"/>
          </w:tcPr>
          <w:p>
            <w:r>
              <w:t>-21.67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-21.22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4.64</w:t>
            </w:r>
          </w:p>
        </w:tc>
        <w:tc>
          <w:tcPr>
            <w:vAlign w:val="center"/>
          </w:tcPr>
          <w:p>
            <w:r>
              <w:t>14.34</w:t>
            </w:r>
          </w:p>
        </w:tc>
        <w:tc>
          <w:tcPr>
            <w:vAlign w:val="center"/>
          </w:tcPr>
          <w:p>
            <w:r>
              <w:t>1.47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26.84</w:t>
            </w:r>
          </w:p>
        </w:tc>
      </w:tr>
    </w:tbl>
    <w:p>
      <w:pPr>
        <w:pStyle w:val="4"/>
      </w:pPr>
      <w:bookmarkStart w:id="98" w:name="_Toc16384"/>
      <w:r>
        <w:t>逐月电耗</w:t>
      </w:r>
      <w:bookmarkEnd w:id="9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2.46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25.16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1.90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2.35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2.57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2.45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9" w:name="_Toc5887"/>
      <w:r>
        <w:rPr>
          <w:color w:val="000000"/>
        </w:rPr>
        <w:t>全年能耗</w:t>
      </w:r>
      <w:bookmarkEnd w:id="99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26.84</w:t>
            </w:r>
            <w:bookmarkEnd w:id="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21.22</w:t>
            </w:r>
            <w:bookmarkEnd w:id="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48.07</w:t>
            </w:r>
            <w:bookmarkEnd w:id="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6.12</w:t>
            </w:r>
            <w:bookmarkEnd w:id="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2.32</w:t>
            </w:r>
            <w:bookmarkEnd w:id="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1.85</w:t>
            </w:r>
            <w:bookmarkEnd w:id="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10.29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7.87</w:t>
            </w:r>
            <w:bookmarkEnd w:id="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0.09</w:t>
            </w:r>
            <w:bookmarkEnd w:id="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7.96</w:t>
            </w:r>
            <w:bookmarkEnd w:id="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2.45</w:t>
            </w:r>
            <w:bookmarkEnd w:id="1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0.23</w:t>
            </w:r>
            <w:bookmarkEnd w:id="1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2.68</w:t>
            </w:r>
            <w:bookmarkEnd w:id="2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15.61</w:t>
            </w:r>
            <w:bookmarkEnd w:id="2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27.92</w:t>
            </w:r>
            <w:bookmarkEnd w:id="2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</w:t>
            </w:r>
            <w:bookmarkEnd w:id="24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25.16</w:t>
            </w:r>
            <w:bookmarkEnd w:id="2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2.45</w:t>
            </w:r>
            <w:bookmarkEnd w:id="2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27.61</w:t>
            </w:r>
            <w:bookmarkEnd w:id="2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光伏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建筑总能耗(E1)：电耗(kWh/㎡)</w:t>
            </w:r>
            <w:bookmarkEnd w:id="30"/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92.08</w:t>
            </w:r>
            <w:bookmarkEnd w:id="3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01" w:name="_Toc1611"/>
      <w:r>
        <w:rPr>
          <w:color w:val="000000"/>
        </w:rPr>
        <w:t>附录</w:t>
      </w:r>
      <w:bookmarkEnd w:id="101"/>
    </w:p>
    <w:p>
      <w:pPr>
        <w:pStyle w:val="4"/>
        <w:widowControl w:val="0"/>
        <w:jc w:val="both"/>
        <w:rPr>
          <w:color w:val="000000"/>
        </w:rPr>
      </w:pPr>
      <w:bookmarkStart w:id="102" w:name="_Toc192"/>
      <w:r>
        <w:rPr>
          <w:color w:val="000000"/>
        </w:rPr>
        <w:t>工作日/节假日人员逐时在室率(%)</w:t>
      </w:r>
      <w:bookmarkEnd w:id="10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自习室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03" w:name="_Toc2245"/>
      <w:r>
        <w:t>工作日/节假日照明开关时间表(%)</w:t>
      </w:r>
      <w:bookmarkEnd w:id="10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自习室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04" w:name="_Toc22841"/>
      <w:r>
        <w:t>工作日/节假日设备逐时使用率(%)</w:t>
      </w:r>
      <w:bookmarkEnd w:id="10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自习室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05" w:name="_Toc577"/>
      <w:r>
        <w:t>工作日/节假日空调系统运行时间表(1:开,0:关)</w:t>
      </w:r>
      <w:bookmarkEnd w:id="105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E145C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  <w:rsid w:val="29927C69"/>
    <w:rsid w:val="4F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26</Pages>
  <Words>8450</Words>
  <Characters>15202</Characters>
  <Lines>43</Lines>
  <Paragraphs>12</Paragraphs>
  <TotalTime>0</TotalTime>
  <ScaleCrop>false</ScaleCrop>
  <LinksUpToDate>false</LinksUpToDate>
  <CharactersWithSpaces>15439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2021-12-21T10:02:00Z</dcterms:created>
  <dc:creator>Happy And Fourteen</dc:creator>
  <cp:lastModifiedBy>沐羽颜</cp:lastModifiedBy>
  <dcterms:modified xsi:type="dcterms:W3CDTF">2022-01-03T07:30:10Z</dcterms:modified>
  <dc:title>建筑全能耗报告书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6B6D819081824B33BDA3A545195BD878</vt:lpwstr>
  </property>
  <property fmtid="{D5CDD505-2E9C-101B-9397-08002B2CF9AE}" pid="3" name="KSOProductBuildVer">
    <vt:lpwstr>2052-11.1.0.11194</vt:lpwstr>
  </property>
</Properties>
</file>