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一方·自习空间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hint="eastAsia" w:ascii="宋体" w:hAnsi="宋体"/>
          <w:bCs/>
          <w:sz w:val="44"/>
          <w:szCs w:val="44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  <w:bookmarkStart w:id="32" w:name="_GoBack"/>
      <w:bookmarkEnd w:id="32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一方·自习空间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2" w:name="设计编号"/>
            <w:r>
              <w:rPr>
                <w:rFonts w:hint="eastAsia" w:ascii="宋体" w:hAnsi="宋体"/>
                <w:szCs w:val="21"/>
                <w:lang w:val="en-US" w:eastAsia="zh-CN"/>
              </w:rPr>
              <w:t>BK40363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山西大学建筑学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山西大学建筑学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吴晓雯、王美清、王思敏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2021年12月21日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斯维尔暖通负荷BECH2020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20200606(SP1)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T18603457859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_Toc30482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_Toc30482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_Toc2187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_Toc2187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_Toc7271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_Toc7271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_Toc28969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_Toc28969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_Toc18000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_Toc18000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_Toc32582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_Toc32582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_Toc21271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_Toc21271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_Toc9145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_Toc9145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_Toc13577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_Toc13577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_Toc292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_Toc16286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_Toc16286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_Toc29436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_Toc29436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_Toc18160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_Toc18160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_Toc4510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_Toc4510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_Toc27620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周边地面</w:t>
      </w:r>
      <w:r>
        <w:tab/>
      </w:r>
      <w:r>
        <w:fldChar w:fldCharType="begin"/>
      </w:r>
      <w:r>
        <w:instrText xml:space="preserve"> PAGEREF _Toc27620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_Toc17490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非周边地面</w:t>
      </w:r>
      <w:r>
        <w:tab/>
      </w:r>
      <w:r>
        <w:fldChar w:fldCharType="begin"/>
      </w:r>
      <w:r>
        <w:instrText xml:space="preserve"> PAGEREF _Toc17490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_Toc695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_Toc695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_Toc14382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_Toc14382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_Toc11975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_Toc11975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_Toc2863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_Toc2863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_Toc26065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房间热负荷详细表</w:t>
      </w:r>
      <w:r>
        <w:tab/>
      </w:r>
      <w:r>
        <w:fldChar w:fldCharType="begin"/>
      </w:r>
      <w:r>
        <w:instrText xml:space="preserve"> PAGEREF _Toc26065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30482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山西-太原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37.78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112.55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一方·自习空间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2901.91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12.00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3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2"/>
      </w:pPr>
      <w:bookmarkStart w:id="11" w:name="_Toc2187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vAlign w:val="center"/>
          </w:tcPr>
          <w:p>
            <w:r>
              <w:t>-10.1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2" w:name="_Toc7271"/>
      <w:r>
        <w:t>计算依据</w:t>
      </w:r>
      <w:bookmarkEnd w:id="12"/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bookmarkStart w:id="13" w:name="_Toc28969"/>
      <w:r>
        <w:t>计算原理</w:t>
      </w:r>
      <w:bookmarkEnd w:id="13"/>
    </w:p>
    <w:p>
      <w:pPr>
        <w:pStyle w:val="4"/>
        <w:rPr>
          <w:rFonts w:hint="eastAsia"/>
        </w:rPr>
      </w:pPr>
      <w:bookmarkStart w:id="14" w:name="围护结构"/>
      <w:bookmarkEnd w:id="14"/>
      <w:bookmarkStart w:id="15" w:name="_Toc18000"/>
      <w:r>
        <w:rPr>
          <w:rFonts w:hint="eastAsia"/>
        </w:rPr>
        <w:t>围护结构传热耗热量</w:t>
      </w:r>
      <w:bookmarkEnd w:id="0"/>
      <w:bookmarkEnd w:id="15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6" w:name="_Toc32582"/>
      <w:r>
        <w:rPr>
          <w:rFonts w:hint="eastAsia"/>
        </w:rPr>
        <w:t>围护结构的附加耗热量</w:t>
      </w:r>
      <w:bookmarkEnd w:id="1"/>
      <w:bookmarkEnd w:id="16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  <w:rPr>
          <w:rFonts w:hint="eastAsia"/>
        </w:rPr>
      </w:pPr>
      <w:bookmarkStart w:id="17" w:name="_Toc21271"/>
      <w:r>
        <w:rPr>
          <w:rFonts w:hint="eastAsia"/>
        </w:rPr>
        <w:t>冷风渗入耗热量</w:t>
      </w:r>
      <w:bookmarkEnd w:id="2"/>
      <w:bookmarkEnd w:id="17"/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  <w:rPr>
          <w:rFonts w:hint="eastAsia"/>
        </w:rPr>
      </w:pPr>
      <w:bookmarkStart w:id="18" w:name="_Toc9145"/>
      <w:r>
        <w:rPr>
          <w:rFonts w:hint="eastAsia"/>
        </w:rPr>
        <w:t>新风耗热量</w:t>
      </w:r>
      <w:bookmarkEnd w:id="3"/>
      <w:bookmarkEnd w:id="18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  <w:rPr>
          <w:rFonts w:hint="eastAsia"/>
        </w:rPr>
      </w:pPr>
      <w:bookmarkStart w:id="19" w:name="_Toc13577"/>
      <w:r>
        <w:rPr>
          <w:rFonts w:hint="eastAsia"/>
        </w:rPr>
        <w:t>通过其他途径的耗热量</w:t>
      </w:r>
      <w:bookmarkEnd w:id="4"/>
      <w:bookmarkEnd w:id="19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  <w:rPr>
          <w:rFonts w:hint="eastAsia"/>
        </w:rPr>
      </w:pPr>
      <w:bookmarkStart w:id="20" w:name="_Toc292"/>
      <w:r>
        <w:rPr>
          <w:rFonts w:hint="eastAsia"/>
        </w:rPr>
        <w:t>分户计量和间歇采暖热负荷</w:t>
      </w:r>
      <w:bookmarkEnd w:id="5"/>
      <w:bookmarkEnd w:id="20"/>
    </w:p>
    <w:p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bookmarkEnd w:id="6"/>
    <w:p>
      <w:pPr>
        <w:rPr>
          <w:lang w:val="en-US"/>
        </w:rPr>
      </w:pPr>
    </w:p>
    <w:p>
      <w:pPr>
        <w:pStyle w:val="2"/>
      </w:pPr>
      <w:bookmarkStart w:id="21" w:name="_Toc16286"/>
      <w:r>
        <w:t>外围护构造</w:t>
      </w:r>
      <w:bookmarkEnd w:id="21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0.413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挑空楼板构造一</w:t>
            </w:r>
          </w:p>
        </w:tc>
        <w:tc>
          <w:tcPr>
            <w:vAlign w:val="center"/>
          </w:tcPr>
          <w:p>
            <w:r>
              <w:t>0.492</w:t>
            </w:r>
          </w:p>
        </w:tc>
      </w:tr>
    </w:tbl>
    <w:p>
      <w:r>
        <w:t xml:space="preserve">备注：外墙平均传热系数：0.4944 (W/㎡.K) </w:t>
      </w:r>
    </w:p>
    <w:p>
      <w:pPr>
        <w:pStyle w:val="2"/>
      </w:pPr>
      <w:bookmarkStart w:id="22" w:name="_Toc29436"/>
      <w:r>
        <w:t>内围护构造</w:t>
      </w:r>
      <w:bookmarkEnd w:id="22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控温房间隔墙构造一</w:t>
            </w:r>
          </w:p>
        </w:tc>
        <w:tc>
          <w:tcPr>
            <w:vAlign w:val="center"/>
          </w:tcPr>
          <w:p>
            <w:r>
              <w:t>0.443(修正前：0.429)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控温与非控温隔墙构造一</w:t>
            </w:r>
          </w:p>
        </w:tc>
        <w:tc>
          <w:tcPr>
            <w:vAlign w:val="center"/>
          </w:tcPr>
          <w:p>
            <w:r>
              <w:t>0.442(修正前：0.428)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控温房间楼板构造一</w:t>
            </w:r>
          </w:p>
        </w:tc>
        <w:tc>
          <w:tcPr>
            <w:vAlign w:val="center"/>
          </w:tcPr>
          <w:p>
            <w:r>
              <w:t>0.528(修正前：0.507)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控温与非控温楼板构造一</w:t>
            </w:r>
          </w:p>
        </w:tc>
        <w:tc>
          <w:tcPr>
            <w:vAlign w:val="center"/>
          </w:tcPr>
          <w:p>
            <w:r>
              <w:t>0.528(修正前：0.507)</w:t>
            </w:r>
          </w:p>
        </w:tc>
      </w:tr>
    </w:tbl>
    <w:p>
      <w:pPr>
        <w:pStyle w:val="2"/>
      </w:pPr>
      <w:bookmarkStart w:id="23" w:name="_Toc18160"/>
      <w:r>
        <w:t>封闭阳台构造</w:t>
      </w:r>
      <w:bookmarkEnd w:id="23"/>
    </w:p>
    <w:p>
      <w:r>
        <w:t>本工程无此项内容</w:t>
      </w:r>
    </w:p>
    <w:p>
      <w:pPr>
        <w:pStyle w:val="2"/>
      </w:pPr>
      <w:bookmarkStart w:id="24" w:name="_Toc4510"/>
      <w:r>
        <w:t>地下围护构造</w:t>
      </w:r>
      <w:bookmarkEnd w:id="24"/>
    </w:p>
    <w:p>
      <w:pPr>
        <w:pStyle w:val="4"/>
      </w:pPr>
      <w:bookmarkStart w:id="25" w:name="_Toc27620"/>
      <w:r>
        <w:t>周边地面</w:t>
      </w:r>
      <w:bookmarkEnd w:id="25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周边地面构造一</w:t>
            </w:r>
          </w:p>
        </w:tc>
        <w:tc>
          <w:tcPr>
            <w:vAlign w:val="center"/>
          </w:tcPr>
          <w:p>
            <w:r>
              <w:t>0.52</w:t>
            </w:r>
          </w:p>
        </w:tc>
      </w:tr>
    </w:tbl>
    <w:p>
      <w:pPr>
        <w:pStyle w:val="4"/>
      </w:pPr>
      <w:bookmarkStart w:id="26" w:name="_Toc17490"/>
      <w:r>
        <w:t>非周边地面</w:t>
      </w:r>
      <w:bookmarkEnd w:id="26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非周边地面构造一</w:t>
            </w:r>
          </w:p>
        </w:tc>
        <w:tc>
          <w:tcPr>
            <w:vAlign w:val="center"/>
          </w:tcPr>
          <w:p>
            <w:r>
              <w:t>0.3</w:t>
            </w:r>
          </w:p>
        </w:tc>
      </w:tr>
    </w:tbl>
    <w:p>
      <w:pPr>
        <w:pStyle w:val="2"/>
      </w:pPr>
      <w:bookmarkStart w:id="27" w:name="_Toc695"/>
      <w:r>
        <w:t>窗构造</w:t>
      </w:r>
      <w:bookmarkEnd w:id="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平均+断桥铝合金窗框+Low-E中空玻璃（在线）+氩气厚度12mm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下限+断桥铝合金窗框+Low-E中空玻璃（在线）+氩气厚度12mm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0.23</w:t>
            </w:r>
          </w:p>
        </w:tc>
      </w:tr>
    </w:tbl>
    <w:p>
      <w:pPr>
        <w:pStyle w:val="2"/>
      </w:pPr>
      <w:bookmarkStart w:id="28" w:name="_Toc14382"/>
      <w:r>
        <w:t>门构造</w:t>
      </w:r>
      <w:bookmarkEnd w:id="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钢板-硬质聚氨酯泡沫塑料15-钢板</w:t>
            </w:r>
          </w:p>
        </w:tc>
        <w:tc>
          <w:tcPr>
            <w:vAlign w:val="center"/>
          </w:tcPr>
          <w:p>
            <w:r>
              <w:t>1.16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</w:pPr>
      <w:bookmarkStart w:id="29" w:name="_Toc11975"/>
      <w:r>
        <w:t>负荷指标</w:t>
      </w:r>
      <w:bookmarkEnd w:id="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67942</w:t>
            </w:r>
          </w:p>
        </w:tc>
        <w:tc>
          <w:tcPr>
            <w:vAlign w:val="center"/>
          </w:tcPr>
          <w:p>
            <w:r>
              <w:t>2901.91</w:t>
            </w:r>
          </w:p>
        </w:tc>
        <w:tc>
          <w:tcPr>
            <w:vAlign w:val="center"/>
          </w:tcPr>
          <w:p>
            <w:r>
              <w:t>23.41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2094.86</w:t>
            </w:r>
          </w:p>
        </w:tc>
        <w:tc>
          <w:tcPr>
            <w:vAlign w:val="center"/>
          </w:tcPr>
          <w:p>
            <w:r>
              <w:t>32.43</w:t>
            </w:r>
          </w:p>
        </w:tc>
      </w:tr>
    </w:tbl>
    <w:p>
      <w:pPr>
        <w:pStyle w:val="2"/>
      </w:pPr>
      <w:bookmarkStart w:id="30" w:name="_Toc2863"/>
      <w:r>
        <w:t>房间热负荷汇总表(按楼层)</w:t>
      </w:r>
      <w:bookmarkEnd w:id="30"/>
    </w:p>
    <w:tbl>
      <w:tblPr>
        <w:tblStyle w:val="18"/>
        <w:tblW w:w="104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839"/>
        <w:gridCol w:w="848"/>
        <w:gridCol w:w="707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指标(含户间)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1004[学校-教室]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1005[学校-教室]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1008[办公-其它]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1009[办公-会议室]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1010[办公-会议室]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1011[宾馆-3星级餐厅]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1012[办公-其它]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1014[宾馆-2星级多功能厅]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2002[学校-教室]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2003[学校-教室]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2004[学校-教室]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2005[学校-教室]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2006[宾馆-3星级多功能厅]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2007[宾馆-3星级多功能厅]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2008[宾馆-3星级多功能厅]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3002[学校-教室]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3003[学校-教室]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3004[学校-教室]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3005[学校-教室]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3006[学校-教室]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28.2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1" w:name="_Toc26065"/>
      <w:r>
        <w:t>房间热负荷详细表</w:t>
      </w:r>
      <w:bookmarkEnd w:id="31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1004[学校-教室]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1005[学校-教室]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1008[办公-其它]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1009[办公-会议室]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1010[办公-会议室]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1011[宾馆-3星级餐厅]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1012[办公-其它]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1014[宾馆-2星级多功能厅]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39256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2002[学校-教室]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2003[学校-教室]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2004[学校-教室]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2005[学校-教室]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2006[宾馆-3星级多功能厅]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2007[宾馆-3星级多功能厅]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2008[宾馆-3星级多功能厅]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3002[学校-教室]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3003[学校-教室]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3004[学校-教室]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3005[学校-教室]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3006[学校-教室]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一方·自习空间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67942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56721"/>
    <w:rsid w:val="001915A3"/>
    <w:rsid w:val="00217F62"/>
    <w:rsid w:val="00A906D8"/>
    <w:rsid w:val="00AB5A74"/>
    <w:rsid w:val="00F071AE"/>
    <w:rsid w:val="11856721"/>
    <w:rsid w:val="34E6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F047DA-1245-4334-BE83-7E047E995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13</Pages>
  <Words>6119</Words>
  <Characters>14057</Characters>
  <Lines>8</Lines>
  <Paragraphs>2</Paragraphs>
  <TotalTime>0</TotalTime>
  <ScaleCrop>false</ScaleCrop>
  <LinksUpToDate>false</LinksUpToDate>
  <CharactersWithSpaces>14192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2021-12-21T08:44:00Z</dcterms:created>
  <dc:creator>Happy And Fourteen</dc:creator>
  <cp:lastModifiedBy>沐羽颜</cp:lastModifiedBy>
  <dcterms:modified xsi:type="dcterms:W3CDTF">2022-01-03T07:31:18Z</dcterms:modified>
  <dc:title>热负荷计算书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1279E74FF73E4C8682BE0E680F9343D9</vt:lpwstr>
  </property>
  <property fmtid="{D5CDD505-2E9C-101B-9397-08002B2CF9AE}" pid="3" name="KSOProductBuildVer">
    <vt:lpwstr>2052-11.1.0.11194</vt:lpwstr>
  </property>
</Properties>
</file>