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rPr>
          <w:b/>
        </w:rPr>
      </w:pPr>
      <w:r>
        <w:rPr>
          <w:b/>
        </w:rPr>
        <w:t>4.2.13</w:t>
      </w:r>
      <w:r>
        <w:rPr>
          <w:rFonts w:hint="eastAsia"/>
          <w:b/>
        </w:rPr>
        <w:t>充分利用场地空间合理设置绿色雨水基础设施，对大于</w:t>
      </w:r>
      <w:r>
        <w:rPr>
          <w:b/>
        </w:rPr>
        <w:t>10hm</w:t>
      </w:r>
      <w:r>
        <w:rPr>
          <w:b/>
          <w:vertAlign w:val="superscript"/>
        </w:rPr>
        <w:t>2</w:t>
      </w:r>
      <w:r>
        <w:rPr>
          <w:rFonts w:hint="eastAsia"/>
          <w:b/>
        </w:rPr>
        <w:t>的场地进行雨水专项规划设计。（评价总分值</w:t>
      </w:r>
      <w:r>
        <w:rPr>
          <w:b/>
        </w:rPr>
        <w:t>9</w:t>
      </w:r>
      <w:r>
        <w:rPr>
          <w:rFonts w:hint="eastAsia"/>
          <w:b/>
        </w:rPr>
        <w:t>分）</w:t>
      </w:r>
    </w:p>
    <w:p>
      <w:bookmarkStart w:id="0" w:name="_GoBack"/>
      <w:bookmarkEnd w:id="0"/>
    </w:p>
    <w:p>
      <w:pPr>
        <w:spacing w:line="288" w:lineRule="auto"/>
        <w:rPr>
          <w:rFonts w:ascii="宋体" w:hAnsi="宋体" w:cs="宋体"/>
          <w:b/>
          <w:bCs/>
          <w:kern w:val="0"/>
          <w:szCs w:val="21"/>
        </w:rPr>
      </w:pPr>
      <w:r>
        <w:rPr>
          <w:rFonts w:hint="eastAsia" w:ascii="宋体" w:hAnsi="宋体" w:cs="宋体"/>
          <w:b/>
          <w:bCs/>
          <w:kern w:val="0"/>
          <w:szCs w:val="21"/>
        </w:rPr>
        <w:t>参评情况</w:t>
      </w:r>
    </w:p>
    <w:p>
      <w:pPr>
        <w:spacing w:line="288" w:lineRule="auto"/>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参评    □不参评，原因（场地为湿陷性黄土）</w:t>
      </w:r>
    </w:p>
    <w:p>
      <w:pPr>
        <w:spacing w:line="288" w:lineRule="auto"/>
        <w:rPr>
          <w:rFonts w:ascii="宋体" w:hAnsi="宋体" w:cs="宋体"/>
          <w:szCs w:val="21"/>
        </w:rPr>
      </w:pPr>
    </w:p>
    <w:p>
      <w:pPr>
        <w:numPr>
          <w:ilvl w:val="0"/>
          <w:numId w:val="1"/>
        </w:numPr>
        <w:spacing w:line="288" w:lineRule="auto"/>
        <w:rPr>
          <w:rFonts w:ascii="宋体" w:hAnsi="宋体" w:cs="宋体"/>
          <w:b/>
          <w:bCs/>
          <w:kern w:val="0"/>
          <w:szCs w:val="21"/>
        </w:rPr>
      </w:pPr>
      <w:r>
        <w:rPr>
          <w:rFonts w:hint="eastAsia" w:ascii="宋体" w:hAnsi="宋体" w:cs="宋体"/>
          <w:b/>
          <w:bCs/>
          <w:kern w:val="0"/>
          <w:szCs w:val="21"/>
        </w:rPr>
        <w:t>得分自评</w:t>
      </w:r>
    </w:p>
    <w:tbl>
      <w:tblPr>
        <w:tblStyle w:val="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5"/>
        <w:gridCol w:w="131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288" w:lineRule="auto"/>
              <w:jc w:val="center"/>
              <w:rPr>
                <w:rFonts w:ascii="宋体" w:hAnsi="宋体" w:cs="宋体"/>
                <w:bCs/>
                <w:szCs w:val="21"/>
                <w:lang w:val="zh-CN"/>
              </w:rPr>
            </w:pPr>
            <w:r>
              <w:rPr>
                <w:rFonts w:hint="eastAsia" w:ascii="宋体" w:hAnsi="宋体" w:cs="宋体"/>
                <w:bCs/>
                <w:szCs w:val="21"/>
                <w:lang w:val="zh-CN"/>
              </w:rPr>
              <w:t>序号</w:t>
            </w:r>
          </w:p>
        </w:tc>
        <w:tc>
          <w:tcPr>
            <w:tcW w:w="6175" w:type="dxa"/>
          </w:tcPr>
          <w:p>
            <w:pPr>
              <w:spacing w:line="288" w:lineRule="auto"/>
              <w:jc w:val="center"/>
              <w:rPr>
                <w:rFonts w:ascii="宋体" w:hAnsi="宋体" w:cs="宋体"/>
                <w:bCs/>
                <w:szCs w:val="21"/>
                <w:lang w:val="zh-CN"/>
              </w:rPr>
            </w:pPr>
            <w:r>
              <w:rPr>
                <w:rFonts w:hint="eastAsia" w:ascii="宋体" w:hAnsi="宋体" w:cs="宋体"/>
                <w:bCs/>
                <w:szCs w:val="21"/>
                <w:lang w:val="zh-CN"/>
              </w:rPr>
              <w:t>评价内容</w:t>
            </w:r>
          </w:p>
        </w:tc>
        <w:tc>
          <w:tcPr>
            <w:tcW w:w="1313" w:type="dxa"/>
          </w:tcPr>
          <w:p>
            <w:pPr>
              <w:spacing w:line="288" w:lineRule="auto"/>
              <w:jc w:val="center"/>
              <w:rPr>
                <w:rFonts w:ascii="宋体" w:hAnsi="宋体" w:cs="宋体"/>
                <w:bCs/>
                <w:szCs w:val="21"/>
                <w:lang w:val="zh-CN"/>
              </w:rPr>
            </w:pPr>
            <w:r>
              <w:rPr>
                <w:rFonts w:hint="eastAsia" w:ascii="宋体" w:hAnsi="宋体" w:cs="宋体"/>
                <w:bCs/>
                <w:szCs w:val="21"/>
                <w:lang w:val="zh-CN"/>
              </w:rPr>
              <w:t>评价分值（分）</w:t>
            </w:r>
          </w:p>
        </w:tc>
        <w:tc>
          <w:tcPr>
            <w:tcW w:w="1193" w:type="dxa"/>
          </w:tcPr>
          <w:p>
            <w:pPr>
              <w:spacing w:line="288" w:lineRule="auto"/>
              <w:jc w:val="center"/>
              <w:rPr>
                <w:rFonts w:ascii="宋体" w:hAnsi="宋体" w:cs="宋体"/>
                <w:bCs/>
                <w:szCs w:val="21"/>
                <w:lang w:val="zh-CN"/>
              </w:rPr>
            </w:pPr>
            <w:r>
              <w:rPr>
                <w:rFonts w:hint="eastAsia" w:ascii="宋体" w:hAnsi="宋体" w:cs="宋体"/>
                <w:bCs/>
                <w:szCs w:val="21"/>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line="288" w:lineRule="auto"/>
              <w:jc w:val="left"/>
              <w:rPr>
                <w:rFonts w:ascii="宋体" w:hAnsi="宋体" w:cs="宋体"/>
                <w:kern w:val="0"/>
                <w:szCs w:val="21"/>
              </w:rPr>
            </w:pPr>
            <w:r>
              <w:rPr>
                <w:rFonts w:hint="eastAsia" w:ascii="宋体" w:hAnsi="宋体" w:cs="宋体"/>
                <w:kern w:val="0"/>
                <w:szCs w:val="21"/>
              </w:rPr>
              <w:t>1</w:t>
            </w:r>
          </w:p>
        </w:tc>
        <w:tc>
          <w:tcPr>
            <w:tcW w:w="6175" w:type="dxa"/>
            <w:vAlign w:val="center"/>
          </w:tcPr>
          <w:p>
            <w:pPr>
              <w:spacing w:line="288" w:lineRule="auto"/>
              <w:jc w:val="left"/>
              <w:rPr>
                <w:rFonts w:ascii="宋体" w:hAnsi="宋体" w:cs="宋体"/>
                <w:kern w:val="0"/>
                <w:szCs w:val="21"/>
              </w:rPr>
            </w:pPr>
            <w:r>
              <w:rPr>
                <w:rFonts w:hint="eastAsia" w:ascii="宋体" w:hAnsi="宋体" w:cs="宋体"/>
                <w:kern w:val="0"/>
                <w:szCs w:val="21"/>
              </w:rPr>
              <w:t>下凹式绿地、雨水花园等有调蓄雨水功能的绿地和水体的面积之和占绿地面积的比例达到30%。</w:t>
            </w:r>
          </w:p>
        </w:tc>
        <w:tc>
          <w:tcPr>
            <w:tcW w:w="1313" w:type="dxa"/>
            <w:vAlign w:val="center"/>
          </w:tcPr>
          <w:p>
            <w:pPr>
              <w:spacing w:line="288" w:lineRule="auto"/>
              <w:jc w:val="center"/>
              <w:rPr>
                <w:rFonts w:ascii="宋体" w:hAnsi="宋体" w:cs="宋体"/>
                <w:bCs/>
                <w:szCs w:val="21"/>
                <w:lang w:val="zh-CN"/>
              </w:rPr>
            </w:pPr>
            <w:r>
              <w:rPr>
                <w:rFonts w:hint="eastAsia" w:ascii="宋体" w:hAnsi="宋体" w:cs="宋体"/>
                <w:bCs/>
                <w:szCs w:val="21"/>
                <w:lang w:val="zh-CN"/>
              </w:rPr>
              <w:t>3</w:t>
            </w:r>
          </w:p>
        </w:tc>
        <w:tc>
          <w:tcPr>
            <w:tcW w:w="1193" w:type="dxa"/>
            <w:vAlign w:val="center"/>
          </w:tcPr>
          <w:p>
            <w:pPr>
              <w:spacing w:line="288"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line="288" w:lineRule="auto"/>
              <w:jc w:val="left"/>
              <w:rPr>
                <w:rFonts w:ascii="宋体" w:hAnsi="宋体" w:cs="宋体"/>
                <w:kern w:val="0"/>
                <w:szCs w:val="21"/>
              </w:rPr>
            </w:pPr>
            <w:r>
              <w:rPr>
                <w:rFonts w:hint="eastAsia" w:ascii="宋体" w:hAnsi="宋体" w:cs="宋体"/>
                <w:kern w:val="0"/>
                <w:szCs w:val="21"/>
              </w:rPr>
              <w:t>2</w:t>
            </w:r>
          </w:p>
        </w:tc>
        <w:tc>
          <w:tcPr>
            <w:tcW w:w="6175" w:type="dxa"/>
            <w:vAlign w:val="center"/>
          </w:tcPr>
          <w:p>
            <w:pPr>
              <w:spacing w:line="288" w:lineRule="auto"/>
              <w:jc w:val="left"/>
              <w:rPr>
                <w:rFonts w:ascii="宋体" w:hAnsi="宋体" w:cs="宋体"/>
                <w:kern w:val="0"/>
                <w:szCs w:val="21"/>
              </w:rPr>
            </w:pPr>
            <w:r>
              <w:rPr>
                <w:rFonts w:hint="eastAsia" w:ascii="宋体" w:hAnsi="宋体" w:cs="宋体"/>
                <w:kern w:val="0"/>
                <w:szCs w:val="21"/>
              </w:rPr>
              <w:t>合理衔接和引导屋面雨水、道路雨水进入地面生态设施，并采取相应的径流污染控制措施。</w:t>
            </w:r>
          </w:p>
        </w:tc>
        <w:tc>
          <w:tcPr>
            <w:tcW w:w="1313" w:type="dxa"/>
            <w:vAlign w:val="center"/>
          </w:tcPr>
          <w:p>
            <w:pPr>
              <w:spacing w:line="288" w:lineRule="auto"/>
              <w:jc w:val="center"/>
              <w:rPr>
                <w:rFonts w:ascii="宋体" w:hAnsi="宋体" w:cs="宋体"/>
                <w:bCs/>
                <w:szCs w:val="21"/>
                <w:lang w:val="zh-CN"/>
              </w:rPr>
            </w:pPr>
            <w:r>
              <w:rPr>
                <w:rFonts w:hint="eastAsia" w:ascii="宋体" w:hAnsi="宋体" w:cs="宋体"/>
                <w:bCs/>
                <w:szCs w:val="21"/>
                <w:lang w:val="zh-CN"/>
              </w:rPr>
              <w:t>3</w:t>
            </w:r>
          </w:p>
        </w:tc>
        <w:tc>
          <w:tcPr>
            <w:tcW w:w="1193" w:type="dxa"/>
            <w:vAlign w:val="center"/>
          </w:tcPr>
          <w:p>
            <w:pPr>
              <w:spacing w:line="288"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line="288" w:lineRule="auto"/>
              <w:jc w:val="left"/>
              <w:rPr>
                <w:rFonts w:ascii="宋体" w:hAnsi="宋体" w:cs="宋体"/>
                <w:szCs w:val="21"/>
              </w:rPr>
            </w:pPr>
            <w:r>
              <w:rPr>
                <w:rFonts w:hint="eastAsia" w:ascii="宋体" w:hAnsi="宋体" w:cs="宋体"/>
                <w:szCs w:val="21"/>
              </w:rPr>
              <w:t>3</w:t>
            </w:r>
          </w:p>
        </w:tc>
        <w:tc>
          <w:tcPr>
            <w:tcW w:w="6175" w:type="dxa"/>
            <w:vAlign w:val="center"/>
          </w:tcPr>
          <w:p>
            <w:pPr>
              <w:spacing w:line="288" w:lineRule="auto"/>
              <w:jc w:val="left"/>
              <w:rPr>
                <w:rFonts w:ascii="宋体" w:hAnsi="宋体" w:cs="宋体"/>
                <w:kern w:val="0"/>
                <w:szCs w:val="21"/>
              </w:rPr>
            </w:pPr>
            <w:r>
              <w:rPr>
                <w:rFonts w:hint="eastAsia" w:ascii="宋体" w:hAnsi="宋体" w:cs="宋体"/>
                <w:szCs w:val="21"/>
              </w:rPr>
              <w:t>非湿陷性黄土场地内硬质铺装地面中透水铺装面积的比例达到50%</w:t>
            </w:r>
            <w:r>
              <w:rPr>
                <w:rFonts w:hint="eastAsia" w:ascii="宋体" w:hAnsi="宋体" w:cs="宋体"/>
                <w:kern w:val="0"/>
                <w:szCs w:val="21"/>
              </w:rPr>
              <w:t>。</w:t>
            </w:r>
          </w:p>
        </w:tc>
        <w:tc>
          <w:tcPr>
            <w:tcW w:w="1313" w:type="dxa"/>
            <w:vAlign w:val="center"/>
          </w:tcPr>
          <w:p>
            <w:pPr>
              <w:spacing w:line="288" w:lineRule="auto"/>
              <w:jc w:val="center"/>
              <w:rPr>
                <w:rFonts w:ascii="宋体" w:hAnsi="宋体" w:cs="宋体"/>
                <w:bCs/>
                <w:szCs w:val="21"/>
                <w:lang w:val="zh-CN"/>
              </w:rPr>
            </w:pPr>
            <w:r>
              <w:rPr>
                <w:rFonts w:hint="eastAsia" w:ascii="宋体" w:hAnsi="宋体" w:cs="宋体"/>
                <w:bCs/>
                <w:szCs w:val="21"/>
                <w:lang w:val="zh-CN"/>
              </w:rPr>
              <w:t>3</w:t>
            </w:r>
          </w:p>
        </w:tc>
        <w:tc>
          <w:tcPr>
            <w:tcW w:w="1193" w:type="dxa"/>
            <w:vAlign w:val="center"/>
          </w:tcPr>
          <w:p>
            <w:pPr>
              <w:spacing w:line="288"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line="288" w:lineRule="auto"/>
              <w:jc w:val="center"/>
              <w:rPr>
                <w:rFonts w:ascii="宋体" w:hAnsi="宋体" w:cs="宋体"/>
                <w:bCs/>
                <w:szCs w:val="21"/>
                <w:lang w:val="zh-CN"/>
              </w:rPr>
            </w:pPr>
          </w:p>
        </w:tc>
        <w:tc>
          <w:tcPr>
            <w:tcW w:w="6175" w:type="dxa"/>
            <w:vAlign w:val="center"/>
          </w:tcPr>
          <w:p>
            <w:pPr>
              <w:spacing w:line="288" w:lineRule="auto"/>
              <w:jc w:val="center"/>
              <w:rPr>
                <w:rFonts w:ascii="宋体" w:hAnsi="宋体" w:cs="宋体"/>
                <w:bCs/>
                <w:szCs w:val="21"/>
                <w:lang w:val="zh-CN"/>
              </w:rPr>
            </w:pPr>
            <w:r>
              <w:rPr>
                <w:rFonts w:hint="eastAsia" w:ascii="宋体" w:hAnsi="宋体" w:cs="宋体"/>
                <w:bCs/>
                <w:szCs w:val="21"/>
                <w:lang w:val="zh-CN"/>
              </w:rPr>
              <w:t>合计</w:t>
            </w:r>
          </w:p>
        </w:tc>
        <w:tc>
          <w:tcPr>
            <w:tcW w:w="1313" w:type="dxa"/>
            <w:vAlign w:val="center"/>
          </w:tcPr>
          <w:p>
            <w:pPr>
              <w:spacing w:line="288" w:lineRule="auto"/>
              <w:jc w:val="center"/>
              <w:rPr>
                <w:rFonts w:ascii="宋体" w:hAnsi="宋体" w:cs="宋体"/>
                <w:bCs/>
                <w:szCs w:val="21"/>
                <w:lang w:val="zh-CN"/>
              </w:rPr>
            </w:pPr>
            <w:r>
              <w:rPr>
                <w:rFonts w:hint="eastAsia" w:ascii="宋体" w:hAnsi="宋体" w:cs="宋体"/>
                <w:bCs/>
                <w:szCs w:val="21"/>
                <w:lang w:val="zh-CN"/>
              </w:rPr>
              <w:t>9</w:t>
            </w:r>
          </w:p>
        </w:tc>
        <w:tc>
          <w:tcPr>
            <w:tcW w:w="1193" w:type="dxa"/>
            <w:vAlign w:val="center"/>
          </w:tcPr>
          <w:p>
            <w:pPr>
              <w:spacing w:line="288"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9</w:t>
            </w:r>
          </w:p>
        </w:tc>
      </w:tr>
    </w:tbl>
    <w:p>
      <w:pPr>
        <w:pStyle w:val="12"/>
        <w:spacing w:line="288" w:lineRule="auto"/>
        <w:ind w:firstLine="0" w:firstLineChars="0"/>
        <w:rPr>
          <w:rFonts w:ascii="宋体" w:hAnsi="宋体" w:cs="宋体"/>
          <w:bCs/>
          <w:szCs w:val="21"/>
          <w:lang w:val="zh-CN"/>
        </w:rPr>
      </w:pPr>
    </w:p>
    <w:p>
      <w:pPr>
        <w:numPr>
          <w:ilvl w:val="0"/>
          <w:numId w:val="1"/>
        </w:numPr>
        <w:spacing w:line="288" w:lineRule="auto"/>
        <w:rPr>
          <w:rFonts w:ascii="宋体" w:hAnsi="宋体" w:cs="宋体"/>
          <w:b/>
          <w:bCs/>
          <w:kern w:val="0"/>
          <w:szCs w:val="21"/>
        </w:rPr>
      </w:pPr>
      <w:r>
        <w:rPr>
          <w:rFonts w:hint="eastAsia" w:ascii="宋体" w:hAnsi="宋体" w:cs="宋体"/>
          <w:b/>
          <w:bCs/>
          <w:kern w:val="0"/>
          <w:szCs w:val="21"/>
        </w:rPr>
        <w:t>评价要点</w:t>
      </w:r>
    </w:p>
    <w:p>
      <w:pPr>
        <w:pStyle w:val="6"/>
        <w:spacing w:line="288" w:lineRule="auto"/>
        <w:rPr>
          <w:rFonts w:ascii="宋体" w:hAnsi="宋体" w:cs="宋体"/>
          <w:sz w:val="21"/>
          <w:szCs w:val="21"/>
        </w:rPr>
      </w:pPr>
      <w:r>
        <w:rPr>
          <w:rFonts w:hint="eastAsia" w:ascii="宋体" w:hAnsi="宋体" w:cs="宋体"/>
          <w:sz w:val="21"/>
          <w:szCs w:val="21"/>
        </w:rPr>
        <w:t>项目所在地：</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山西省太原市杏花岭区红沟南街</w:t>
      </w:r>
      <w:r>
        <w:rPr>
          <w:rFonts w:hint="eastAsia" w:ascii="宋体" w:hAnsi="宋体" w:cs="宋体"/>
          <w:sz w:val="21"/>
          <w:szCs w:val="21"/>
          <w:u w:val="single"/>
        </w:rPr>
        <w:t xml:space="preserve">    </w:t>
      </w:r>
      <w:r>
        <w:rPr>
          <w:rFonts w:hint="eastAsia" w:ascii="宋体" w:hAnsi="宋体" w:cs="宋体"/>
          <w:sz w:val="21"/>
          <w:szCs w:val="21"/>
        </w:rPr>
        <w:t xml:space="preserve">，年平均降雨量（ </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360.8</w:t>
      </w:r>
      <w:r>
        <w:rPr>
          <w:rFonts w:hint="eastAsia" w:ascii="宋体" w:hAnsi="宋体" w:cs="宋体"/>
          <w:sz w:val="21"/>
          <w:szCs w:val="21"/>
          <w:u w:val="single"/>
        </w:rPr>
        <w:t xml:space="preserve">    </w:t>
      </w:r>
      <w:r>
        <w:rPr>
          <w:rFonts w:hint="eastAsia" w:ascii="宋体" w:hAnsi="宋体" w:cs="宋体"/>
          <w:sz w:val="21"/>
          <w:szCs w:val="21"/>
        </w:rPr>
        <w:t xml:space="preserve"> mm）；</w:t>
      </w:r>
    </w:p>
    <w:p>
      <w:pPr>
        <w:spacing w:line="288" w:lineRule="auto"/>
        <w:rPr>
          <w:rFonts w:ascii="宋体" w:hAnsi="宋体" w:cs="宋体"/>
          <w:szCs w:val="21"/>
        </w:rPr>
      </w:pPr>
      <w:r>
        <w:rPr>
          <w:rFonts w:hint="eastAsia" w:ascii="宋体" w:hAnsi="宋体" w:cs="宋体"/>
          <w:szCs w:val="21"/>
        </w:rPr>
        <w:t>项目总用地面积 （</w:t>
      </w:r>
      <w:r>
        <w:rPr>
          <w:rFonts w:hint="eastAsia" w:ascii="宋体" w:hAnsi="宋体" w:cs="宋体"/>
          <w:szCs w:val="21"/>
          <w:u w:val="single"/>
        </w:rPr>
        <w:t xml:space="preserve">   </w:t>
      </w:r>
      <w:r>
        <w:rPr>
          <w:rFonts w:hint="eastAsia" w:ascii="宋体" w:hAnsi="宋体" w:cs="宋体"/>
          <w:szCs w:val="21"/>
          <w:u w:val="single"/>
          <w:lang w:val="en-US" w:eastAsia="zh-CN"/>
        </w:rPr>
        <w:t>4760</w:t>
      </w:r>
      <w:r>
        <w:rPr>
          <w:rFonts w:hint="eastAsia" w:ascii="宋体" w:hAnsi="宋体" w:cs="宋体"/>
          <w:szCs w:val="21"/>
          <w:u w:val="single"/>
        </w:rPr>
        <w:t xml:space="preserve">      </w:t>
      </w:r>
      <w:r>
        <w:rPr>
          <w:rFonts w:hint="eastAsia" w:ascii="宋体" w:hAnsi="宋体" w:cs="宋体"/>
          <w:szCs w:val="21"/>
        </w:rPr>
        <w:t>平方米）；</w:t>
      </w:r>
    </w:p>
    <w:p>
      <w:pPr>
        <w:pStyle w:val="12"/>
        <w:numPr>
          <w:ilvl w:val="0"/>
          <w:numId w:val="2"/>
        </w:numPr>
        <w:spacing w:line="288" w:lineRule="auto"/>
        <w:ind w:left="630" w:leftChars="100" w:hangingChars="200"/>
        <w:rPr>
          <w:rFonts w:ascii="宋体" w:hAnsi="宋体" w:cs="宋体"/>
          <w:szCs w:val="21"/>
        </w:rPr>
      </w:pPr>
      <w:r>
        <w:rPr>
          <w:rFonts w:hint="eastAsia" w:ascii="宋体" w:hAnsi="宋体" w:cs="宋体"/>
          <w:szCs w:val="21"/>
        </w:rPr>
        <w:t>场地用地面积是否大于10hm</w:t>
      </w:r>
      <w:r>
        <w:rPr>
          <w:rFonts w:hint="eastAsia" w:ascii="宋体" w:hAnsi="宋体" w:cs="宋体"/>
          <w:szCs w:val="21"/>
          <w:vertAlign w:val="superscript"/>
        </w:rPr>
        <w:t>2</w:t>
      </w:r>
      <w:r>
        <w:rPr>
          <w:rFonts w:hint="eastAsia" w:ascii="宋体" w:hAnsi="宋体" w:cs="宋体"/>
          <w:szCs w:val="21"/>
        </w:rPr>
        <w:t>：</w:t>
      </w:r>
      <w:r>
        <w:rPr>
          <w:rFonts w:hint="eastAsia" w:ascii="宋体" w:hAnsi="宋体" w:cs="宋体"/>
          <w:bCs/>
          <w:szCs w:val="21"/>
          <w:lang w:val="zh-CN"/>
        </w:rPr>
        <w:t>□</w:t>
      </w:r>
      <w:r>
        <w:rPr>
          <w:rFonts w:hint="eastAsia" w:ascii="宋体" w:hAnsi="宋体" w:cs="宋体"/>
          <w:szCs w:val="21"/>
        </w:rPr>
        <w:t>是、</w:t>
      </w:r>
      <w:r>
        <w:rPr>
          <w:rFonts w:hint="eastAsia" w:ascii="宋体" w:hAnsi="宋体" w:cs="宋体"/>
          <w:bCs/>
          <w:szCs w:val="21"/>
          <w:lang w:val="zh-CN"/>
        </w:rPr>
        <w:sym w:font="Wingdings 2" w:char="0052"/>
      </w:r>
      <w:r>
        <w:rPr>
          <w:rFonts w:hint="eastAsia" w:ascii="宋体" w:hAnsi="宋体" w:cs="宋体"/>
          <w:szCs w:val="21"/>
        </w:rPr>
        <w:t>否。</w:t>
      </w:r>
    </w:p>
    <w:p>
      <w:pPr>
        <w:pStyle w:val="12"/>
        <w:spacing w:line="288" w:lineRule="auto"/>
        <w:ind w:left="-210" w:leftChars="-100" w:firstLine="0" w:firstLineChars="0"/>
        <w:rPr>
          <w:rFonts w:ascii="宋体" w:hAnsi="宋体" w:cs="宋体"/>
          <w:szCs w:val="21"/>
        </w:rPr>
      </w:pPr>
    </w:p>
    <w:p>
      <w:pPr>
        <w:autoSpaceDE w:val="0"/>
        <w:autoSpaceDN w:val="0"/>
        <w:adjustRightInd w:val="0"/>
        <w:spacing w:line="288" w:lineRule="auto"/>
        <w:ind w:firstLine="424" w:firstLineChars="202"/>
        <w:jc w:val="left"/>
        <w:rPr>
          <w:rFonts w:ascii="宋体" w:hAnsi="宋体" w:cs="宋体"/>
          <w:szCs w:val="21"/>
        </w:rPr>
      </w:pPr>
      <w:r>
        <w:rPr>
          <w:rFonts w:hint="eastAsia" w:ascii="宋体" w:hAnsi="宋体" w:cs="宋体"/>
          <w:szCs w:val="21"/>
        </w:rPr>
        <w:t>如场地用地面积大于10hm</w:t>
      </w:r>
      <w:r>
        <w:rPr>
          <w:rFonts w:hint="eastAsia" w:ascii="宋体" w:hAnsi="宋体" w:cs="宋体"/>
          <w:szCs w:val="21"/>
          <w:vertAlign w:val="superscript"/>
        </w:rPr>
        <w:t>2</w:t>
      </w:r>
      <w:r>
        <w:rPr>
          <w:rFonts w:hint="eastAsia" w:ascii="宋体" w:hAnsi="宋体" w:cs="宋体"/>
          <w:szCs w:val="21"/>
        </w:rPr>
        <w:t>，简要描述场地雨水专项规划设计，</w:t>
      </w:r>
      <w:r>
        <w:rPr>
          <w:rFonts w:hint="eastAsia" w:ascii="宋体" w:hAnsi="宋体" w:cs="宋体"/>
          <w:kern w:val="0"/>
          <w:szCs w:val="21"/>
        </w:rPr>
        <w:t>包含对场地内径流减排、污染控制、雨水收集回用等的全面统筹规划设计；小于10hm</w:t>
      </w:r>
      <w:r>
        <w:rPr>
          <w:rFonts w:hint="eastAsia" w:ascii="宋体" w:hAnsi="宋体" w:cs="宋体"/>
          <w:kern w:val="0"/>
          <w:szCs w:val="21"/>
          <w:vertAlign w:val="superscript"/>
        </w:rPr>
        <w:t>2</w:t>
      </w:r>
      <w:r>
        <w:rPr>
          <w:rFonts w:hint="eastAsia" w:ascii="宋体" w:hAnsi="宋体" w:cs="宋体"/>
          <w:kern w:val="0"/>
          <w:szCs w:val="21"/>
        </w:rPr>
        <w:t>的项目简述场地雨水综合利用方案（根据场地条件合理采用雨水控制利用措施）</w:t>
      </w:r>
      <w:r>
        <w:rPr>
          <w:rFonts w:hint="eastAsia" w:ascii="宋体" w:hAnsi="宋体" w:cs="宋体"/>
          <w:szCs w:val="21"/>
        </w:rPr>
        <w:t>。（300字以内）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9380" w:type="dxa"/>
          </w:tcPr>
          <w:p>
            <w:pPr>
              <w:pStyle w:val="13"/>
              <w:spacing w:line="288" w:lineRule="auto"/>
              <w:ind w:firstLine="420" w:firstLineChars="200"/>
              <w:jc w:val="both"/>
              <w:outlineLvl w:val="8"/>
              <w:rPr>
                <w:rFonts w:hint="eastAsia" w:hAnsi="宋体"/>
                <w:bCs/>
                <w:color w:val="auto"/>
                <w:kern w:val="2"/>
                <w:sz w:val="21"/>
                <w:szCs w:val="21"/>
              </w:rPr>
            </w:pPr>
            <w:r>
              <w:rPr>
                <w:rFonts w:hint="eastAsia" w:hAnsi="宋体"/>
                <w:bCs/>
                <w:color w:val="auto"/>
                <w:kern w:val="2"/>
                <w:sz w:val="21"/>
                <w:szCs w:val="21"/>
              </w:rPr>
              <w:t>1、规划原则</w:t>
            </w:r>
          </w:p>
          <w:p>
            <w:pPr>
              <w:pStyle w:val="13"/>
              <w:spacing w:line="288" w:lineRule="auto"/>
              <w:ind w:firstLine="420" w:firstLineChars="200"/>
              <w:jc w:val="both"/>
              <w:outlineLvl w:val="8"/>
              <w:rPr>
                <w:rFonts w:hint="eastAsia" w:hAnsi="宋体"/>
                <w:bCs/>
                <w:color w:val="auto"/>
                <w:kern w:val="2"/>
                <w:sz w:val="21"/>
                <w:szCs w:val="21"/>
              </w:rPr>
            </w:pPr>
            <w:r>
              <w:rPr>
                <w:rFonts w:hint="eastAsia" w:hAnsi="宋体"/>
                <w:bCs/>
                <w:color w:val="auto"/>
                <w:kern w:val="2"/>
                <w:sz w:val="21"/>
                <w:szCs w:val="21"/>
              </w:rPr>
              <w:t>　　（1）因地制宜，优化选用</w:t>
            </w:r>
          </w:p>
          <w:p>
            <w:pPr>
              <w:pStyle w:val="13"/>
              <w:spacing w:line="288" w:lineRule="auto"/>
              <w:ind w:firstLine="420" w:firstLineChars="200"/>
              <w:jc w:val="both"/>
              <w:outlineLvl w:val="8"/>
              <w:rPr>
                <w:rFonts w:hint="eastAsia" w:hAnsi="宋体"/>
                <w:bCs/>
                <w:color w:val="auto"/>
                <w:kern w:val="2"/>
                <w:sz w:val="21"/>
                <w:szCs w:val="21"/>
              </w:rPr>
            </w:pPr>
            <w:r>
              <w:rPr>
                <w:rFonts w:hint="eastAsia" w:hAnsi="宋体"/>
                <w:bCs/>
                <w:color w:val="auto"/>
                <w:kern w:val="2"/>
                <w:sz w:val="21"/>
                <w:szCs w:val="21"/>
              </w:rPr>
              <w:t>　　（2）将雨水利用与雨水径流污染控制、城市防洪、生态景观改善相结合</w:t>
            </w:r>
          </w:p>
          <w:p>
            <w:pPr>
              <w:pStyle w:val="13"/>
              <w:spacing w:line="288" w:lineRule="auto"/>
              <w:ind w:firstLine="420" w:firstLineChars="200"/>
              <w:jc w:val="both"/>
              <w:outlineLvl w:val="8"/>
              <w:rPr>
                <w:rFonts w:hint="eastAsia" w:hAnsi="宋体"/>
                <w:bCs/>
                <w:color w:val="auto"/>
                <w:kern w:val="2"/>
                <w:sz w:val="21"/>
                <w:szCs w:val="21"/>
              </w:rPr>
            </w:pPr>
            <w:r>
              <w:rPr>
                <w:rFonts w:hint="eastAsia" w:hAnsi="宋体"/>
                <w:bCs/>
                <w:color w:val="auto"/>
                <w:kern w:val="2"/>
                <w:sz w:val="21"/>
                <w:szCs w:val="21"/>
              </w:rPr>
              <w:t>　　（3）技术措施与非技术措施相结合，实行综合整治，突出重点。</w:t>
            </w:r>
          </w:p>
          <w:p>
            <w:pPr>
              <w:pStyle w:val="13"/>
              <w:spacing w:line="288" w:lineRule="auto"/>
              <w:ind w:firstLine="420" w:firstLineChars="200"/>
              <w:jc w:val="both"/>
              <w:outlineLvl w:val="8"/>
              <w:rPr>
                <w:rFonts w:hint="eastAsia" w:hAnsi="宋体"/>
                <w:bCs/>
                <w:color w:val="auto"/>
                <w:kern w:val="2"/>
                <w:sz w:val="21"/>
                <w:szCs w:val="21"/>
              </w:rPr>
            </w:pPr>
            <w:r>
              <w:rPr>
                <w:rFonts w:hint="eastAsia" w:hAnsi="宋体"/>
                <w:bCs/>
                <w:color w:val="auto"/>
                <w:kern w:val="2"/>
                <w:sz w:val="21"/>
                <w:szCs w:val="21"/>
              </w:rPr>
              <w:t>　　（4）规划设计应兼顾经济效益、环境效益和社会效益</w:t>
            </w:r>
          </w:p>
          <w:p>
            <w:pPr>
              <w:pStyle w:val="13"/>
              <w:spacing w:line="288" w:lineRule="auto"/>
              <w:ind w:firstLine="840" w:firstLineChars="400"/>
              <w:jc w:val="both"/>
              <w:outlineLvl w:val="8"/>
              <w:rPr>
                <w:rFonts w:hint="eastAsia" w:hAnsi="宋体"/>
                <w:bCs/>
                <w:color w:val="auto"/>
                <w:kern w:val="2"/>
                <w:sz w:val="21"/>
                <w:szCs w:val="21"/>
              </w:rPr>
            </w:pPr>
            <w:r>
              <w:rPr>
                <w:rFonts w:hint="eastAsia" w:hAnsi="宋体"/>
                <w:bCs/>
                <w:color w:val="auto"/>
                <w:kern w:val="2"/>
                <w:sz w:val="21"/>
                <w:szCs w:val="21"/>
              </w:rPr>
              <w:t>（5）远近结合，考虑远景。</w:t>
            </w:r>
          </w:p>
          <w:p>
            <w:pPr>
              <w:pStyle w:val="13"/>
              <w:spacing w:line="288" w:lineRule="auto"/>
              <w:ind w:firstLine="420" w:firstLineChars="200"/>
              <w:jc w:val="both"/>
              <w:outlineLvl w:val="8"/>
              <w:rPr>
                <w:rFonts w:hint="eastAsia" w:hAnsi="宋体"/>
                <w:bCs/>
                <w:color w:val="auto"/>
                <w:kern w:val="2"/>
                <w:sz w:val="21"/>
                <w:szCs w:val="21"/>
              </w:rPr>
            </w:pPr>
            <w:r>
              <w:rPr>
                <w:rFonts w:hint="eastAsia" w:hAnsi="宋体"/>
                <w:bCs/>
                <w:color w:val="auto"/>
                <w:kern w:val="2"/>
                <w:sz w:val="21"/>
                <w:szCs w:val="21"/>
              </w:rPr>
              <w:t>2、雨水综合利用规划</w:t>
            </w:r>
          </w:p>
          <w:p>
            <w:pPr>
              <w:pStyle w:val="13"/>
              <w:spacing w:line="288" w:lineRule="auto"/>
              <w:ind w:firstLine="420" w:firstLineChars="200"/>
              <w:jc w:val="both"/>
              <w:outlineLvl w:val="8"/>
              <w:rPr>
                <w:rFonts w:hint="eastAsia" w:hAnsi="宋体"/>
                <w:bCs/>
                <w:color w:val="auto"/>
                <w:kern w:val="2"/>
                <w:sz w:val="21"/>
                <w:szCs w:val="21"/>
              </w:rPr>
            </w:pPr>
            <w:r>
              <w:rPr>
                <w:rFonts w:hint="eastAsia" w:hAnsi="宋体"/>
                <w:bCs/>
                <w:color w:val="auto"/>
                <w:kern w:val="2"/>
                <w:sz w:val="21"/>
                <w:szCs w:val="21"/>
              </w:rPr>
              <w:t>　　（1）将初期雨水污染控制纳入城市雨水规划的要求。</w:t>
            </w:r>
          </w:p>
          <w:p>
            <w:pPr>
              <w:pStyle w:val="13"/>
              <w:spacing w:line="288" w:lineRule="auto"/>
              <w:ind w:firstLine="420" w:firstLineChars="200"/>
              <w:jc w:val="both"/>
              <w:outlineLvl w:val="8"/>
              <w:rPr>
                <w:rFonts w:hint="eastAsia" w:hAnsi="宋体"/>
                <w:bCs/>
                <w:color w:val="auto"/>
                <w:kern w:val="2"/>
                <w:sz w:val="21"/>
                <w:szCs w:val="21"/>
              </w:rPr>
            </w:pPr>
            <w:r>
              <w:rPr>
                <w:rFonts w:hint="eastAsia" w:hAnsi="宋体"/>
                <w:bCs/>
                <w:color w:val="auto"/>
                <w:kern w:val="2"/>
                <w:sz w:val="21"/>
                <w:szCs w:val="21"/>
              </w:rPr>
              <w:t>　　（2）根据本地自然条件、经济条件确定雨水综合利用方案，并作为城市雨水规划的重要组成部分。</w:t>
            </w:r>
          </w:p>
          <w:p>
            <w:pPr>
              <w:pStyle w:val="13"/>
              <w:spacing w:line="288" w:lineRule="auto"/>
              <w:ind w:firstLine="420" w:firstLineChars="200"/>
              <w:jc w:val="both"/>
              <w:outlineLvl w:val="8"/>
              <w:rPr>
                <w:rFonts w:hint="eastAsia" w:hAnsi="宋体"/>
                <w:bCs/>
                <w:color w:val="auto"/>
                <w:kern w:val="2"/>
                <w:sz w:val="21"/>
                <w:szCs w:val="21"/>
              </w:rPr>
            </w:pPr>
            <w:r>
              <w:rPr>
                <w:rFonts w:hint="eastAsia" w:hAnsi="宋体"/>
                <w:bCs/>
                <w:color w:val="auto"/>
                <w:kern w:val="2"/>
                <w:sz w:val="21"/>
                <w:szCs w:val="21"/>
              </w:rPr>
              <w:t>　　（3）确定合适的分期实施方案。</w:t>
            </w:r>
          </w:p>
          <w:p>
            <w:pPr>
              <w:pStyle w:val="13"/>
              <w:spacing w:line="288" w:lineRule="auto"/>
              <w:ind w:firstLine="840" w:firstLineChars="400"/>
              <w:jc w:val="both"/>
              <w:outlineLvl w:val="8"/>
              <w:rPr>
                <w:rFonts w:hAnsi="宋体"/>
                <w:bCs/>
                <w:color w:val="auto"/>
                <w:kern w:val="2"/>
                <w:sz w:val="21"/>
                <w:szCs w:val="21"/>
              </w:rPr>
            </w:pPr>
            <w:r>
              <w:rPr>
                <w:rFonts w:hint="eastAsia" w:hAnsi="宋体"/>
                <w:bCs/>
                <w:color w:val="auto"/>
                <w:kern w:val="2"/>
                <w:sz w:val="21"/>
                <w:szCs w:val="21"/>
              </w:rPr>
              <w:t>（4）做好远景规划设想。</w:t>
            </w:r>
          </w:p>
        </w:tc>
      </w:tr>
    </w:tbl>
    <w:p>
      <w:pPr>
        <w:pStyle w:val="12"/>
        <w:spacing w:line="288" w:lineRule="auto"/>
        <w:ind w:left="720" w:firstLine="0" w:firstLineChars="0"/>
        <w:rPr>
          <w:rFonts w:ascii="宋体" w:hAnsi="宋体" w:cs="宋体"/>
          <w:szCs w:val="21"/>
          <w:lang w:val="zh-CN"/>
        </w:rPr>
      </w:pPr>
    </w:p>
    <w:p>
      <w:pPr>
        <w:pStyle w:val="12"/>
        <w:numPr>
          <w:ilvl w:val="0"/>
          <w:numId w:val="2"/>
        </w:numPr>
        <w:spacing w:line="288" w:lineRule="auto"/>
        <w:ind w:left="630" w:leftChars="100" w:hangingChars="200"/>
        <w:rPr>
          <w:rFonts w:ascii="宋体" w:hAnsi="宋体" w:cs="宋体"/>
          <w:szCs w:val="21"/>
          <w:lang w:val="zh-CN"/>
        </w:rPr>
      </w:pPr>
      <w:r>
        <w:rPr>
          <w:rFonts w:hint="eastAsia" w:ascii="宋体" w:hAnsi="宋体" w:cs="宋体"/>
          <w:szCs w:val="21"/>
        </w:rPr>
        <w:t>下凹</w:t>
      </w:r>
      <w:r>
        <w:rPr>
          <w:rFonts w:hint="eastAsia" w:ascii="宋体" w:hAnsi="宋体" w:cs="宋体"/>
          <w:szCs w:val="21"/>
          <w:lang w:val="zh-CN"/>
        </w:rPr>
        <w:t>式绿地、雨水花园等有调蓄雨水功能的绿地和水体的面积之和占绿地面积的比例：</w:t>
      </w:r>
    </w:p>
    <w:p>
      <w:pPr>
        <w:pStyle w:val="12"/>
        <w:spacing w:line="288" w:lineRule="auto"/>
        <w:ind w:left="420" w:firstLine="0" w:firstLineChars="0"/>
        <w:rPr>
          <w:rFonts w:ascii="宋体" w:hAnsi="宋体" w:cs="宋体"/>
          <w:szCs w:val="21"/>
          <w:lang w:val="zh-CN"/>
        </w:rPr>
      </w:pPr>
      <w:r>
        <w:rPr>
          <w:rFonts w:hint="eastAsia" w:ascii="宋体" w:hAnsi="宋体" w:cs="宋体"/>
          <w:kern w:val="0"/>
          <w:szCs w:val="21"/>
        </w:rPr>
        <w:t>有调蓄雨水功能的绿地和水体的面积之和</w:t>
      </w:r>
      <w:r>
        <w:rPr>
          <w:rFonts w:hint="eastAsia" w:ascii="宋体" w:hAnsi="宋体" w:cs="宋体"/>
          <w:szCs w:val="21"/>
          <w:lang w:val="zh-CN"/>
        </w:rPr>
        <w:t>：</w:t>
      </w:r>
      <w:r>
        <w:rPr>
          <w:rFonts w:hint="eastAsia" w:ascii="宋体" w:hAnsi="宋体" w:cs="宋体"/>
          <w:szCs w:val="21"/>
          <w:u w:val="single"/>
        </w:rPr>
        <w:t xml:space="preserve">  </w:t>
      </w:r>
      <w:r>
        <w:rPr>
          <w:rFonts w:hint="eastAsia" w:ascii="宋体" w:hAnsi="宋体" w:cs="宋体"/>
          <w:szCs w:val="21"/>
          <w:u w:val="single"/>
          <w:lang w:val="en-US" w:eastAsia="zh-CN"/>
        </w:rPr>
        <w:t>1485</w:t>
      </w:r>
      <w:r>
        <w:rPr>
          <w:rFonts w:hint="eastAsia" w:ascii="宋体" w:hAnsi="宋体" w:cs="宋体"/>
          <w:szCs w:val="21"/>
          <w:u w:val="single"/>
        </w:rPr>
        <w:t xml:space="preserve">       </w:t>
      </w:r>
      <w:r>
        <w:rPr>
          <w:rFonts w:hint="eastAsia" w:ascii="宋体" w:hAnsi="宋体" w:cs="宋体"/>
          <w:szCs w:val="21"/>
          <w:lang w:val="zh-CN"/>
        </w:rPr>
        <w:t>m</w:t>
      </w:r>
      <w:r>
        <w:rPr>
          <w:rFonts w:hint="eastAsia" w:ascii="宋体" w:hAnsi="宋体" w:cs="宋体"/>
          <w:szCs w:val="21"/>
          <w:vertAlign w:val="superscript"/>
          <w:lang w:val="zh-CN"/>
        </w:rPr>
        <w:t>2</w:t>
      </w:r>
    </w:p>
    <w:p>
      <w:pPr>
        <w:pStyle w:val="12"/>
        <w:spacing w:line="288" w:lineRule="auto"/>
        <w:ind w:left="420" w:firstLine="0" w:firstLineChars="0"/>
        <w:rPr>
          <w:rFonts w:ascii="宋体" w:hAnsi="宋体" w:cs="宋体"/>
          <w:szCs w:val="21"/>
        </w:rPr>
      </w:pPr>
      <w:r>
        <w:rPr>
          <w:rFonts w:hint="eastAsia" w:ascii="宋体" w:hAnsi="宋体" w:cs="宋体"/>
          <w:szCs w:val="21"/>
          <w:lang w:val="zh-CN"/>
        </w:rPr>
        <w:t>场地绿地面积：</w:t>
      </w:r>
      <w:r>
        <w:rPr>
          <w:rFonts w:hint="eastAsia" w:ascii="宋体" w:hAnsi="宋体" w:cs="宋体"/>
          <w:szCs w:val="21"/>
          <w:u w:val="single"/>
        </w:rPr>
        <w:t xml:space="preserve">  </w:t>
      </w:r>
      <w:r>
        <w:rPr>
          <w:rFonts w:hint="eastAsia" w:ascii="宋体" w:hAnsi="宋体" w:cs="宋体"/>
          <w:szCs w:val="21"/>
          <w:u w:val="single"/>
          <w:lang w:val="en-US" w:eastAsia="zh-CN"/>
        </w:rPr>
        <w:t>2250</w:t>
      </w:r>
      <w:r>
        <w:rPr>
          <w:rFonts w:hint="eastAsia" w:ascii="宋体" w:hAnsi="宋体" w:cs="宋体"/>
          <w:szCs w:val="21"/>
          <w:u w:val="single"/>
        </w:rPr>
        <w:t xml:space="preserve">       </w:t>
      </w:r>
      <w:r>
        <w:rPr>
          <w:rFonts w:hint="eastAsia" w:ascii="宋体" w:hAnsi="宋体" w:cs="宋体"/>
          <w:szCs w:val="21"/>
          <w:lang w:val="zh-CN"/>
        </w:rPr>
        <w:t>m</w:t>
      </w:r>
      <w:r>
        <w:rPr>
          <w:rFonts w:hint="eastAsia" w:ascii="宋体" w:hAnsi="宋体" w:cs="宋体"/>
          <w:szCs w:val="21"/>
          <w:vertAlign w:val="superscript"/>
          <w:lang w:val="zh-CN"/>
        </w:rPr>
        <w:t>2</w:t>
      </w:r>
    </w:p>
    <w:p>
      <w:pPr>
        <w:pStyle w:val="12"/>
        <w:spacing w:line="288" w:lineRule="auto"/>
        <w:ind w:left="420" w:firstLine="0" w:firstLineChars="0"/>
        <w:rPr>
          <w:rFonts w:ascii="宋体" w:hAnsi="宋体" w:cs="宋体"/>
          <w:szCs w:val="21"/>
        </w:rPr>
      </w:pPr>
      <w:r>
        <w:rPr>
          <w:rFonts w:hint="eastAsia" w:ascii="宋体" w:hAnsi="宋体" w:cs="宋体"/>
          <w:kern w:val="0"/>
          <w:szCs w:val="21"/>
        </w:rPr>
        <w:t>有调蓄雨水功能的绿地和水体的面积之和</w:t>
      </w:r>
      <w:r>
        <w:rPr>
          <w:rFonts w:hint="eastAsia" w:ascii="宋体" w:hAnsi="宋体" w:cs="宋体"/>
          <w:szCs w:val="21"/>
          <w:lang w:val="zh-CN"/>
        </w:rPr>
        <w:t>占绿地面积的比例：</w:t>
      </w:r>
      <w:r>
        <w:rPr>
          <w:rFonts w:hint="eastAsia" w:ascii="宋体" w:hAnsi="宋体" w:cs="宋体"/>
          <w:szCs w:val="21"/>
          <w:u w:val="single"/>
        </w:rPr>
        <w:t xml:space="preserve">   </w:t>
      </w:r>
      <w:r>
        <w:rPr>
          <w:rFonts w:hint="eastAsia" w:ascii="宋体" w:hAnsi="宋体" w:cs="宋体"/>
          <w:szCs w:val="21"/>
          <w:u w:val="single"/>
          <w:lang w:val="en-US" w:eastAsia="zh-CN"/>
        </w:rPr>
        <w:t>66</w:t>
      </w:r>
      <w:r>
        <w:rPr>
          <w:rFonts w:hint="eastAsia" w:ascii="宋体" w:hAnsi="宋体" w:cs="宋体"/>
          <w:szCs w:val="21"/>
          <w:u w:val="single"/>
        </w:rPr>
        <w:t xml:space="preserve">      </w:t>
      </w:r>
      <w:r>
        <w:rPr>
          <w:rFonts w:hint="eastAsia" w:ascii="宋体" w:hAnsi="宋体" w:cs="宋体"/>
          <w:szCs w:val="21"/>
          <w:u w:val="single"/>
          <w:lang w:val="zh-CN"/>
        </w:rPr>
        <w:t>%</w:t>
      </w:r>
    </w:p>
    <w:p>
      <w:pPr>
        <w:spacing w:line="288" w:lineRule="auto"/>
        <w:ind w:firstLine="420" w:firstLineChars="200"/>
        <w:rPr>
          <w:rFonts w:ascii="宋体" w:hAnsi="宋体" w:cs="宋体"/>
          <w:kern w:val="0"/>
          <w:szCs w:val="21"/>
        </w:rPr>
      </w:pPr>
    </w:p>
    <w:p>
      <w:pPr>
        <w:spacing w:line="288" w:lineRule="auto"/>
        <w:ind w:firstLine="420" w:firstLineChars="200"/>
        <w:rPr>
          <w:rFonts w:ascii="宋体" w:hAnsi="宋体" w:cs="宋体"/>
          <w:szCs w:val="21"/>
        </w:rPr>
      </w:pPr>
      <w:r>
        <w:rPr>
          <w:rFonts w:hint="eastAsia" w:ascii="宋体" w:hAnsi="宋体" w:cs="宋体"/>
          <w:kern w:val="0"/>
          <w:szCs w:val="21"/>
        </w:rPr>
        <w:t>绿色雨水基础设</w:t>
      </w:r>
      <w:r>
        <w:rPr>
          <w:rFonts w:hint="eastAsia" w:ascii="宋体" w:hAnsi="宋体" w:cs="宋体"/>
          <w:szCs w:val="21"/>
        </w:rPr>
        <w:t>施统计：</w:t>
      </w:r>
    </w:p>
    <w:tbl>
      <w:tblPr>
        <w:tblStyle w:val="7"/>
        <w:tblW w:w="951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5196"/>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line="288" w:lineRule="auto"/>
              <w:rPr>
                <w:rFonts w:ascii="宋体" w:hAnsi="宋体" w:cs="宋体"/>
                <w:szCs w:val="21"/>
              </w:rPr>
            </w:pPr>
            <w:r>
              <w:rPr>
                <w:rFonts w:hint="eastAsia" w:ascii="宋体" w:hAnsi="宋体" w:cs="宋体"/>
                <w:szCs w:val="21"/>
              </w:rPr>
              <w:t>序号</w:t>
            </w:r>
          </w:p>
        </w:tc>
        <w:tc>
          <w:tcPr>
            <w:tcW w:w="5196" w:type="dxa"/>
          </w:tcPr>
          <w:p>
            <w:pPr>
              <w:spacing w:line="288" w:lineRule="auto"/>
              <w:rPr>
                <w:rFonts w:ascii="宋体" w:hAnsi="宋体" w:cs="宋体"/>
                <w:szCs w:val="21"/>
              </w:rPr>
            </w:pPr>
            <w:r>
              <w:rPr>
                <w:rFonts w:hint="eastAsia" w:ascii="宋体" w:hAnsi="宋体" w:cs="宋体"/>
                <w:kern w:val="0"/>
                <w:szCs w:val="21"/>
              </w:rPr>
              <w:t>绿色雨水基础</w:t>
            </w:r>
            <w:r>
              <w:rPr>
                <w:rFonts w:hint="eastAsia" w:ascii="宋体" w:hAnsi="宋体" w:cs="宋体"/>
                <w:szCs w:val="21"/>
              </w:rPr>
              <w:t>设施类型</w:t>
            </w:r>
          </w:p>
        </w:tc>
        <w:tc>
          <w:tcPr>
            <w:tcW w:w="3102" w:type="dxa"/>
          </w:tcPr>
          <w:p>
            <w:pPr>
              <w:spacing w:line="288" w:lineRule="auto"/>
              <w:rPr>
                <w:rFonts w:ascii="宋体" w:hAnsi="宋体" w:cs="宋体"/>
                <w:szCs w:val="21"/>
              </w:rPr>
            </w:pPr>
            <w:r>
              <w:rPr>
                <w:rFonts w:hint="eastAsia" w:ascii="宋体" w:hAnsi="宋体" w:cs="宋体"/>
                <w:szCs w:val="21"/>
              </w:rPr>
              <w:t>面积（m</w:t>
            </w:r>
            <w:r>
              <w:rPr>
                <w:rFonts w:hint="eastAsia" w:ascii="宋体" w:hAnsi="宋体" w:cs="宋体"/>
                <w:szCs w:val="21"/>
                <w:vertAlign w:val="superscript"/>
              </w:rPr>
              <w:t>2</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spacing w:line="288" w:lineRule="auto"/>
              <w:jc w:val="center"/>
              <w:rPr>
                <w:rFonts w:ascii="宋体" w:hAnsi="宋体" w:cs="宋体"/>
                <w:szCs w:val="21"/>
              </w:rPr>
            </w:pPr>
            <w:r>
              <w:rPr>
                <w:rFonts w:hint="eastAsia" w:ascii="宋体" w:hAnsi="宋体" w:cs="宋体"/>
                <w:szCs w:val="21"/>
              </w:rPr>
              <w:t>1</w:t>
            </w:r>
          </w:p>
        </w:tc>
        <w:tc>
          <w:tcPr>
            <w:tcW w:w="5196" w:type="dxa"/>
          </w:tcPr>
          <w:p>
            <w:pPr>
              <w:spacing w:line="288" w:lineRule="auto"/>
              <w:rPr>
                <w:rFonts w:ascii="宋体" w:hAnsi="宋体" w:cs="宋体"/>
                <w:szCs w:val="21"/>
              </w:rPr>
            </w:pPr>
            <w:r>
              <w:rPr>
                <w:rFonts w:hint="eastAsia" w:ascii="宋体" w:hAnsi="宋体" w:cs="宋体"/>
                <w:szCs w:val="21"/>
              </w:rPr>
              <w:t>雨水花园</w:t>
            </w:r>
          </w:p>
        </w:tc>
        <w:tc>
          <w:tcPr>
            <w:tcW w:w="3102" w:type="dxa"/>
            <w:vAlign w:val="top"/>
          </w:tcPr>
          <w:p>
            <w:pPr>
              <w:spacing w:line="288" w:lineRule="auto"/>
              <w:rPr>
                <w:rFonts w:ascii="宋体" w:hAnsi="宋体" w:eastAsia="宋体" w:cs="宋体"/>
                <w:kern w:val="2"/>
                <w:sz w:val="21"/>
                <w:szCs w:val="21"/>
                <w:lang w:val="en-US" w:eastAsia="zh-CN" w:bidi="ar-SA"/>
              </w:rPr>
            </w:pPr>
            <w:r>
              <w:rPr>
                <w:rFonts w:ascii="宋体" w:hAnsi="宋体" w:cs="宋体"/>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line="288" w:lineRule="auto"/>
              <w:jc w:val="center"/>
              <w:rPr>
                <w:rFonts w:ascii="宋体" w:hAnsi="宋体" w:cs="宋体"/>
                <w:szCs w:val="21"/>
              </w:rPr>
            </w:pPr>
            <w:r>
              <w:rPr>
                <w:rFonts w:hint="eastAsia" w:ascii="宋体" w:hAnsi="宋体" w:cs="宋体"/>
                <w:szCs w:val="21"/>
              </w:rPr>
              <w:t>2</w:t>
            </w:r>
          </w:p>
        </w:tc>
        <w:tc>
          <w:tcPr>
            <w:tcW w:w="5196" w:type="dxa"/>
          </w:tcPr>
          <w:p>
            <w:pPr>
              <w:spacing w:line="288" w:lineRule="auto"/>
              <w:rPr>
                <w:rFonts w:ascii="宋体" w:hAnsi="宋体" w:cs="宋体"/>
                <w:szCs w:val="21"/>
              </w:rPr>
            </w:pPr>
            <w:r>
              <w:rPr>
                <w:rFonts w:hint="eastAsia" w:ascii="宋体" w:hAnsi="宋体" w:cs="宋体"/>
                <w:szCs w:val="21"/>
              </w:rPr>
              <w:t>下凹式绿地</w:t>
            </w:r>
          </w:p>
        </w:tc>
        <w:tc>
          <w:tcPr>
            <w:tcW w:w="3102" w:type="dxa"/>
            <w:vAlign w:val="top"/>
          </w:tcPr>
          <w:p>
            <w:pPr>
              <w:spacing w:line="288" w:lineRule="auto"/>
              <w:rPr>
                <w:rFonts w:ascii="宋体" w:hAnsi="宋体" w:eastAsia="宋体" w:cs="宋体"/>
                <w:kern w:val="2"/>
                <w:sz w:val="21"/>
                <w:szCs w:val="21"/>
                <w:lang w:val="en-US" w:eastAsia="zh-CN" w:bidi="ar-SA"/>
              </w:rPr>
            </w:pPr>
            <w:r>
              <w:rPr>
                <w:rFonts w:ascii="宋体" w:hAnsi="宋体" w:cs="宋体"/>
                <w:szCs w:val="21"/>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line="288" w:lineRule="auto"/>
              <w:jc w:val="center"/>
              <w:rPr>
                <w:rFonts w:ascii="宋体" w:hAnsi="宋体" w:cs="宋体"/>
                <w:szCs w:val="21"/>
              </w:rPr>
            </w:pPr>
            <w:r>
              <w:rPr>
                <w:rFonts w:hint="eastAsia" w:ascii="宋体" w:hAnsi="宋体" w:cs="宋体"/>
                <w:szCs w:val="21"/>
              </w:rPr>
              <w:t>3</w:t>
            </w:r>
          </w:p>
        </w:tc>
        <w:tc>
          <w:tcPr>
            <w:tcW w:w="5196" w:type="dxa"/>
          </w:tcPr>
          <w:p>
            <w:pPr>
              <w:spacing w:line="288" w:lineRule="auto"/>
              <w:rPr>
                <w:rFonts w:ascii="宋体" w:hAnsi="宋体" w:cs="宋体"/>
                <w:szCs w:val="21"/>
              </w:rPr>
            </w:pPr>
            <w:r>
              <w:rPr>
                <w:rFonts w:hint="eastAsia" w:ascii="宋体" w:hAnsi="宋体" w:cs="宋体"/>
                <w:szCs w:val="21"/>
              </w:rPr>
              <w:t>植被浅沟</w:t>
            </w:r>
          </w:p>
        </w:tc>
        <w:tc>
          <w:tcPr>
            <w:tcW w:w="3102" w:type="dxa"/>
            <w:vAlign w:val="top"/>
          </w:tcPr>
          <w:p>
            <w:pPr>
              <w:spacing w:line="288" w:lineRule="auto"/>
              <w:rPr>
                <w:rFonts w:ascii="宋体" w:hAnsi="宋体" w:eastAsia="宋体" w:cs="宋体"/>
                <w:kern w:val="2"/>
                <w:sz w:val="21"/>
                <w:szCs w:val="21"/>
                <w:lang w:val="en-US" w:eastAsia="zh-CN" w:bidi="ar-SA"/>
              </w:rPr>
            </w:pPr>
            <w:r>
              <w:rPr>
                <w:rFonts w:ascii="宋体" w:hAnsi="宋体" w:cs="宋体"/>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line="288" w:lineRule="auto"/>
              <w:jc w:val="center"/>
              <w:rPr>
                <w:rFonts w:ascii="宋体" w:hAnsi="宋体" w:cs="宋体"/>
                <w:szCs w:val="21"/>
              </w:rPr>
            </w:pPr>
            <w:r>
              <w:rPr>
                <w:rFonts w:hint="eastAsia" w:ascii="宋体" w:hAnsi="宋体" w:cs="宋体"/>
                <w:szCs w:val="21"/>
              </w:rPr>
              <w:t>4</w:t>
            </w:r>
          </w:p>
        </w:tc>
        <w:tc>
          <w:tcPr>
            <w:tcW w:w="5196" w:type="dxa"/>
          </w:tcPr>
          <w:p>
            <w:pPr>
              <w:spacing w:line="288" w:lineRule="auto"/>
              <w:rPr>
                <w:rFonts w:ascii="宋体" w:hAnsi="宋体" w:cs="宋体"/>
                <w:szCs w:val="21"/>
              </w:rPr>
            </w:pPr>
            <w:r>
              <w:rPr>
                <w:rFonts w:hint="eastAsia" w:ascii="宋体" w:hAnsi="宋体" w:cs="宋体"/>
                <w:szCs w:val="21"/>
              </w:rPr>
              <w:t>雨水截留设施</w:t>
            </w:r>
          </w:p>
        </w:tc>
        <w:tc>
          <w:tcPr>
            <w:tcW w:w="3102" w:type="dxa"/>
            <w:vAlign w:val="top"/>
          </w:tcPr>
          <w:p>
            <w:pPr>
              <w:spacing w:line="288" w:lineRule="auto"/>
              <w:rPr>
                <w:rFonts w:ascii="宋体" w:hAnsi="宋体" w:eastAsia="宋体" w:cs="宋体"/>
                <w:kern w:val="2"/>
                <w:sz w:val="21"/>
                <w:szCs w:val="21"/>
                <w:lang w:val="en-US" w:eastAsia="zh-CN" w:bidi="ar-SA"/>
              </w:rPr>
            </w:pPr>
            <w:r>
              <w:rPr>
                <w:rFonts w:ascii="宋体" w:hAnsi="宋体" w:cs="宋体"/>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Pr>
          <w:p>
            <w:pPr>
              <w:spacing w:line="288" w:lineRule="auto"/>
              <w:jc w:val="center"/>
              <w:rPr>
                <w:rFonts w:ascii="宋体" w:hAnsi="宋体" w:cs="宋体"/>
                <w:szCs w:val="21"/>
              </w:rPr>
            </w:pPr>
            <w:r>
              <w:rPr>
                <w:rFonts w:hint="eastAsia" w:ascii="宋体" w:hAnsi="宋体" w:cs="宋体"/>
                <w:szCs w:val="21"/>
              </w:rPr>
              <w:t>5</w:t>
            </w:r>
          </w:p>
        </w:tc>
        <w:tc>
          <w:tcPr>
            <w:tcW w:w="5196" w:type="dxa"/>
          </w:tcPr>
          <w:p>
            <w:pPr>
              <w:spacing w:line="288" w:lineRule="auto"/>
              <w:rPr>
                <w:rFonts w:ascii="宋体" w:hAnsi="宋体" w:cs="宋体"/>
                <w:kern w:val="0"/>
                <w:szCs w:val="21"/>
              </w:rPr>
            </w:pPr>
            <w:r>
              <w:rPr>
                <w:rFonts w:hint="eastAsia" w:ascii="宋体" w:hAnsi="宋体" w:cs="宋体"/>
                <w:kern w:val="0"/>
                <w:szCs w:val="21"/>
              </w:rPr>
              <w:t>渗透设施</w:t>
            </w:r>
          </w:p>
        </w:tc>
        <w:tc>
          <w:tcPr>
            <w:tcW w:w="3102" w:type="dxa"/>
            <w:vAlign w:val="top"/>
          </w:tcPr>
          <w:p>
            <w:pPr>
              <w:spacing w:line="288" w:lineRule="auto"/>
              <w:rPr>
                <w:rFonts w:ascii="宋体" w:hAnsi="宋体" w:eastAsia="宋体" w:cs="宋体"/>
                <w:kern w:val="2"/>
                <w:sz w:val="21"/>
                <w:szCs w:val="21"/>
                <w:lang w:val="en-US" w:eastAsia="zh-CN" w:bidi="ar-SA"/>
              </w:rPr>
            </w:pPr>
            <w:r>
              <w:rPr>
                <w:rFonts w:ascii="宋体" w:hAnsi="宋体" w:cs="宋体"/>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line="288" w:lineRule="auto"/>
              <w:jc w:val="center"/>
              <w:rPr>
                <w:rFonts w:ascii="宋体" w:hAnsi="宋体" w:cs="宋体"/>
                <w:szCs w:val="21"/>
              </w:rPr>
            </w:pPr>
            <w:r>
              <w:rPr>
                <w:rFonts w:hint="eastAsia" w:ascii="宋体" w:hAnsi="宋体" w:cs="宋体"/>
                <w:szCs w:val="21"/>
              </w:rPr>
              <w:t>6</w:t>
            </w:r>
          </w:p>
        </w:tc>
        <w:tc>
          <w:tcPr>
            <w:tcW w:w="5196" w:type="dxa"/>
          </w:tcPr>
          <w:p>
            <w:pPr>
              <w:spacing w:line="288" w:lineRule="auto"/>
              <w:rPr>
                <w:rFonts w:ascii="宋体" w:hAnsi="宋体" w:cs="宋体"/>
                <w:kern w:val="0"/>
                <w:szCs w:val="21"/>
              </w:rPr>
            </w:pPr>
            <w:r>
              <w:rPr>
                <w:rFonts w:hint="eastAsia" w:ascii="宋体" w:hAnsi="宋体" w:cs="宋体"/>
                <w:kern w:val="0"/>
                <w:szCs w:val="21"/>
              </w:rPr>
              <w:t>雨水塘</w:t>
            </w:r>
          </w:p>
        </w:tc>
        <w:tc>
          <w:tcPr>
            <w:tcW w:w="3102" w:type="dxa"/>
            <w:vAlign w:val="top"/>
          </w:tcPr>
          <w:p>
            <w:pPr>
              <w:spacing w:line="288" w:lineRule="auto"/>
              <w:rPr>
                <w:rFonts w:ascii="宋体" w:hAnsi="宋体" w:eastAsia="宋体" w:cs="宋体"/>
                <w:kern w:val="2"/>
                <w:sz w:val="21"/>
                <w:szCs w:val="21"/>
                <w:lang w:val="en-US" w:eastAsia="zh-CN" w:bidi="ar-SA"/>
              </w:rPr>
            </w:pPr>
            <w:r>
              <w:rPr>
                <w:rFonts w:ascii="宋体" w:hAnsi="宋体" w:cs="宋体"/>
                <w:szCs w:val="21"/>
              </w:rPr>
              <w:t>1</w:t>
            </w:r>
            <w:r>
              <w:rPr>
                <w:rFonts w:hint="eastAsia" w:ascii="宋体" w:hAnsi="宋体" w:cs="宋体"/>
                <w:szCs w:val="21"/>
              </w:rPr>
              <w:t>8</w:t>
            </w: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line="288" w:lineRule="auto"/>
              <w:jc w:val="center"/>
              <w:rPr>
                <w:rFonts w:ascii="宋体" w:hAnsi="宋体" w:cs="宋体"/>
                <w:szCs w:val="21"/>
              </w:rPr>
            </w:pPr>
            <w:r>
              <w:rPr>
                <w:rFonts w:hint="eastAsia" w:ascii="宋体" w:hAnsi="宋体" w:cs="宋体"/>
                <w:szCs w:val="21"/>
              </w:rPr>
              <w:t>7</w:t>
            </w:r>
          </w:p>
        </w:tc>
        <w:tc>
          <w:tcPr>
            <w:tcW w:w="5196" w:type="dxa"/>
          </w:tcPr>
          <w:p>
            <w:pPr>
              <w:autoSpaceDE w:val="0"/>
              <w:autoSpaceDN w:val="0"/>
              <w:adjustRightInd w:val="0"/>
              <w:spacing w:line="288" w:lineRule="auto"/>
              <w:jc w:val="left"/>
              <w:rPr>
                <w:rFonts w:ascii="宋体" w:hAnsi="宋体" w:cs="宋体"/>
                <w:kern w:val="0"/>
                <w:szCs w:val="21"/>
              </w:rPr>
            </w:pPr>
            <w:r>
              <w:rPr>
                <w:rFonts w:hint="eastAsia" w:ascii="宋体" w:hAnsi="宋体" w:cs="宋体"/>
                <w:kern w:val="0"/>
                <w:szCs w:val="21"/>
              </w:rPr>
              <w:t>雨水湿地</w:t>
            </w:r>
          </w:p>
        </w:tc>
        <w:tc>
          <w:tcPr>
            <w:tcW w:w="3102" w:type="dxa"/>
            <w:vAlign w:val="top"/>
          </w:tcPr>
          <w:p>
            <w:pPr>
              <w:spacing w:line="288" w:lineRule="auto"/>
              <w:rPr>
                <w:rFonts w:ascii="宋体" w:hAnsi="宋体" w:eastAsia="宋体" w:cs="宋体"/>
                <w:kern w:val="2"/>
                <w:sz w:val="21"/>
                <w:szCs w:val="21"/>
                <w:lang w:val="en-US" w:eastAsia="zh-CN" w:bidi="ar-SA"/>
              </w:rPr>
            </w:pPr>
            <w:r>
              <w:rPr>
                <w:rFonts w:ascii="宋体" w:hAnsi="宋体" w:cs="宋体"/>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Pr>
          <w:p>
            <w:pPr>
              <w:spacing w:line="288" w:lineRule="auto"/>
              <w:jc w:val="center"/>
              <w:rPr>
                <w:rFonts w:ascii="宋体" w:hAnsi="宋体" w:cs="宋体"/>
                <w:szCs w:val="21"/>
              </w:rPr>
            </w:pPr>
            <w:r>
              <w:rPr>
                <w:rFonts w:hint="eastAsia" w:ascii="宋体" w:hAnsi="宋体" w:cs="宋体"/>
                <w:szCs w:val="21"/>
              </w:rPr>
              <w:t>8</w:t>
            </w:r>
          </w:p>
        </w:tc>
        <w:tc>
          <w:tcPr>
            <w:tcW w:w="5196" w:type="dxa"/>
          </w:tcPr>
          <w:p>
            <w:pPr>
              <w:spacing w:line="288" w:lineRule="auto"/>
              <w:rPr>
                <w:rFonts w:ascii="宋体" w:hAnsi="宋体" w:cs="宋体"/>
                <w:kern w:val="0"/>
                <w:szCs w:val="21"/>
              </w:rPr>
            </w:pPr>
            <w:r>
              <w:rPr>
                <w:rFonts w:hint="eastAsia" w:ascii="宋体" w:hAnsi="宋体" w:cs="宋体"/>
                <w:kern w:val="0"/>
                <w:szCs w:val="21"/>
              </w:rPr>
              <w:t>景观水体</w:t>
            </w:r>
          </w:p>
        </w:tc>
        <w:tc>
          <w:tcPr>
            <w:tcW w:w="3102" w:type="dxa"/>
            <w:vAlign w:val="top"/>
          </w:tcPr>
          <w:p>
            <w:pPr>
              <w:spacing w:line="288" w:lineRule="auto"/>
              <w:rPr>
                <w:rFonts w:ascii="宋体" w:hAnsi="宋体" w:eastAsia="宋体" w:cs="宋体"/>
                <w:kern w:val="2"/>
                <w:sz w:val="21"/>
                <w:szCs w:val="21"/>
                <w:lang w:val="en-US" w:eastAsia="zh-CN" w:bidi="ar-SA"/>
              </w:rPr>
            </w:pPr>
            <w:r>
              <w:rPr>
                <w:rFonts w:ascii="宋体" w:hAnsi="宋体" w:cs="宋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line="288" w:lineRule="auto"/>
              <w:jc w:val="center"/>
              <w:rPr>
                <w:rFonts w:ascii="宋体" w:hAnsi="宋体" w:cs="宋体"/>
                <w:szCs w:val="21"/>
              </w:rPr>
            </w:pPr>
            <w:r>
              <w:rPr>
                <w:rFonts w:hint="eastAsia" w:ascii="宋体" w:hAnsi="宋体" w:cs="宋体"/>
                <w:szCs w:val="21"/>
              </w:rPr>
              <w:t>9</w:t>
            </w:r>
          </w:p>
        </w:tc>
        <w:tc>
          <w:tcPr>
            <w:tcW w:w="5196" w:type="dxa"/>
          </w:tcPr>
          <w:p>
            <w:pPr>
              <w:spacing w:line="288" w:lineRule="auto"/>
              <w:rPr>
                <w:rFonts w:ascii="宋体" w:hAnsi="宋体" w:cs="宋体"/>
                <w:kern w:val="0"/>
                <w:szCs w:val="21"/>
              </w:rPr>
            </w:pPr>
            <w:r>
              <w:rPr>
                <w:rFonts w:hint="eastAsia" w:ascii="宋体" w:hAnsi="宋体" w:cs="宋体"/>
                <w:kern w:val="0"/>
                <w:szCs w:val="21"/>
              </w:rPr>
              <w:t>多功能调蓄设施</w:t>
            </w:r>
          </w:p>
        </w:tc>
        <w:tc>
          <w:tcPr>
            <w:tcW w:w="3102" w:type="dxa"/>
            <w:vAlign w:val="top"/>
          </w:tcPr>
          <w:p>
            <w:pPr>
              <w:spacing w:line="288" w:lineRule="auto"/>
              <w:rPr>
                <w:rFonts w:ascii="宋体" w:hAnsi="宋体" w:eastAsia="宋体" w:cs="宋体"/>
                <w:kern w:val="2"/>
                <w:sz w:val="21"/>
                <w:szCs w:val="21"/>
                <w:lang w:val="en-US" w:eastAsia="zh-CN" w:bidi="ar-SA"/>
              </w:rPr>
            </w:pPr>
            <w:r>
              <w:rPr>
                <w:rFonts w:hint="eastAsia" w:ascii="宋体" w:hAnsi="宋体" w:cs="宋体"/>
                <w:szCs w:val="21"/>
              </w:rPr>
              <w:t>8</w:t>
            </w: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line="288" w:lineRule="auto"/>
              <w:jc w:val="center"/>
              <w:rPr>
                <w:rFonts w:ascii="宋体" w:hAnsi="宋体" w:cs="宋体"/>
                <w:szCs w:val="21"/>
              </w:rPr>
            </w:pPr>
            <w:r>
              <w:rPr>
                <w:rFonts w:hint="eastAsia" w:ascii="宋体" w:hAnsi="宋体" w:cs="宋体"/>
                <w:szCs w:val="21"/>
              </w:rPr>
              <w:t>10</w:t>
            </w:r>
          </w:p>
        </w:tc>
        <w:tc>
          <w:tcPr>
            <w:tcW w:w="5196" w:type="dxa"/>
          </w:tcPr>
          <w:p>
            <w:pPr>
              <w:spacing w:line="288" w:lineRule="auto"/>
              <w:rPr>
                <w:rFonts w:ascii="宋体" w:hAnsi="宋体" w:cs="宋体"/>
                <w:kern w:val="0"/>
                <w:szCs w:val="21"/>
              </w:rPr>
            </w:pPr>
            <w:r>
              <w:rPr>
                <w:rFonts w:hint="eastAsia" w:ascii="宋体" w:hAnsi="宋体" w:cs="宋体"/>
                <w:kern w:val="0"/>
                <w:szCs w:val="21"/>
              </w:rPr>
              <w:t>其他</w:t>
            </w:r>
          </w:p>
        </w:tc>
        <w:tc>
          <w:tcPr>
            <w:tcW w:w="3102" w:type="dxa"/>
            <w:vAlign w:val="top"/>
          </w:tcPr>
          <w:p>
            <w:pPr>
              <w:spacing w:line="288" w:lineRule="auto"/>
              <w:rPr>
                <w:rFonts w:ascii="宋体" w:hAnsi="宋体" w:eastAsia="宋体" w:cs="宋体"/>
                <w:kern w:val="2"/>
                <w:sz w:val="21"/>
                <w:szCs w:val="21"/>
                <w:lang w:val="en-US" w:eastAsia="zh-CN" w:bidi="ar-SA"/>
              </w:rPr>
            </w:pPr>
            <w:r>
              <w:rPr>
                <w:rFonts w:hint="eastAsia" w:ascii="宋体" w:hAnsi="宋体" w:cs="宋体"/>
                <w:szCs w:val="21"/>
              </w:rPr>
              <w:t>7</w:t>
            </w: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Pr>
          <w:p>
            <w:pPr>
              <w:spacing w:line="288" w:lineRule="auto"/>
              <w:jc w:val="center"/>
              <w:rPr>
                <w:rFonts w:ascii="宋体" w:hAnsi="宋体" w:cs="宋体"/>
                <w:szCs w:val="21"/>
              </w:rPr>
            </w:pPr>
          </w:p>
        </w:tc>
        <w:tc>
          <w:tcPr>
            <w:tcW w:w="5196" w:type="dxa"/>
          </w:tcPr>
          <w:p>
            <w:pPr>
              <w:spacing w:line="288" w:lineRule="auto"/>
              <w:rPr>
                <w:rFonts w:ascii="宋体" w:hAnsi="宋体" w:cs="宋体"/>
                <w:kern w:val="0"/>
                <w:szCs w:val="21"/>
              </w:rPr>
            </w:pPr>
            <w:r>
              <w:rPr>
                <w:rFonts w:hint="eastAsia" w:ascii="宋体" w:hAnsi="宋体" w:cs="宋体"/>
                <w:kern w:val="0"/>
                <w:szCs w:val="21"/>
              </w:rPr>
              <w:t>合计</w:t>
            </w:r>
          </w:p>
        </w:tc>
        <w:tc>
          <w:tcPr>
            <w:tcW w:w="3102" w:type="dxa"/>
            <w:vAlign w:val="top"/>
          </w:tcPr>
          <w:p>
            <w:pPr>
              <w:spacing w:line="288" w:lineRule="auto"/>
              <w:rPr>
                <w:rFonts w:ascii="宋体" w:hAnsi="宋体" w:eastAsia="宋体" w:cs="宋体"/>
                <w:kern w:val="2"/>
                <w:sz w:val="21"/>
                <w:szCs w:val="21"/>
                <w:lang w:val="en-US" w:eastAsia="zh-CN" w:bidi="ar-SA"/>
              </w:rPr>
            </w:pPr>
            <w:r>
              <w:rPr>
                <w:rFonts w:ascii="宋体" w:hAnsi="宋体" w:cs="宋体"/>
                <w:szCs w:val="21"/>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2" w:type="dxa"/>
            <w:gridSpan w:val="2"/>
          </w:tcPr>
          <w:p>
            <w:pPr>
              <w:spacing w:line="288" w:lineRule="auto"/>
              <w:jc w:val="center"/>
              <w:rPr>
                <w:rFonts w:ascii="宋体" w:hAnsi="宋体" w:cs="宋体"/>
                <w:kern w:val="0"/>
                <w:szCs w:val="21"/>
              </w:rPr>
            </w:pPr>
            <w:r>
              <w:rPr>
                <w:rFonts w:hint="eastAsia" w:ascii="宋体" w:hAnsi="宋体" w:cs="宋体"/>
                <w:szCs w:val="21"/>
              </w:rPr>
              <w:t>场地绿地面积</w:t>
            </w:r>
          </w:p>
        </w:tc>
        <w:tc>
          <w:tcPr>
            <w:tcW w:w="3102" w:type="dxa"/>
          </w:tcPr>
          <w:p>
            <w:pPr>
              <w:spacing w:line="288" w:lineRule="auto"/>
              <w:rPr>
                <w:rFonts w:hint="default" w:ascii="宋体" w:hAnsi="宋体" w:eastAsia="宋体" w:cs="宋体"/>
                <w:szCs w:val="21"/>
                <w:lang w:val="en-US" w:eastAsia="zh-CN"/>
              </w:rPr>
            </w:pPr>
            <w:r>
              <w:rPr>
                <w:rFonts w:hint="eastAsia" w:ascii="宋体" w:hAnsi="宋体" w:cs="宋体"/>
                <w:szCs w:val="21"/>
                <w:lang w:val="en-US" w:eastAsia="zh-CN"/>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2" w:type="dxa"/>
            <w:gridSpan w:val="2"/>
          </w:tcPr>
          <w:p>
            <w:pPr>
              <w:spacing w:line="288" w:lineRule="auto"/>
              <w:rPr>
                <w:rFonts w:ascii="宋体" w:hAnsi="宋体" w:cs="宋体"/>
                <w:kern w:val="0"/>
                <w:szCs w:val="21"/>
              </w:rPr>
            </w:pPr>
            <w:r>
              <w:rPr>
                <w:rFonts w:hint="eastAsia" w:ascii="宋体" w:hAnsi="宋体" w:cs="宋体"/>
                <w:kern w:val="0"/>
                <w:szCs w:val="21"/>
              </w:rPr>
              <w:t>有调蓄雨水功能的绿地和水体的面积之和占绿地面积的比例%。</w:t>
            </w:r>
          </w:p>
        </w:tc>
        <w:tc>
          <w:tcPr>
            <w:tcW w:w="3102" w:type="dxa"/>
          </w:tcPr>
          <w:p>
            <w:pPr>
              <w:spacing w:line="288" w:lineRule="auto"/>
              <w:rPr>
                <w:rFonts w:hint="default" w:ascii="宋体" w:hAnsi="宋体" w:eastAsia="宋体" w:cs="宋体"/>
                <w:szCs w:val="21"/>
                <w:lang w:val="en-US" w:eastAsia="zh-CN"/>
              </w:rPr>
            </w:pPr>
            <w:r>
              <w:rPr>
                <w:rFonts w:hint="eastAsia" w:ascii="宋体" w:hAnsi="宋体" w:cs="宋体"/>
                <w:szCs w:val="21"/>
                <w:lang w:val="en-US" w:eastAsia="zh-CN"/>
              </w:rPr>
              <w:t>66.0%</w:t>
            </w:r>
          </w:p>
        </w:tc>
      </w:tr>
    </w:tbl>
    <w:p>
      <w:pPr>
        <w:pStyle w:val="12"/>
        <w:numPr>
          <w:ilvl w:val="0"/>
          <w:numId w:val="2"/>
        </w:numPr>
        <w:spacing w:line="288" w:lineRule="auto"/>
        <w:ind w:left="630" w:leftChars="100" w:hangingChars="200"/>
        <w:rPr>
          <w:rFonts w:ascii="宋体" w:hAnsi="宋体" w:cs="宋体"/>
          <w:szCs w:val="21"/>
        </w:rPr>
      </w:pPr>
      <w:r>
        <w:rPr>
          <w:rFonts w:hint="eastAsia" w:ascii="宋体" w:hAnsi="宋体" w:cs="宋体"/>
          <w:kern w:val="0"/>
          <w:szCs w:val="21"/>
        </w:rPr>
        <w:t>合理衔接和引导屋面雨水、道路雨水进入地面生态设施</w:t>
      </w:r>
    </w:p>
    <w:p>
      <w:pPr>
        <w:pStyle w:val="12"/>
        <w:spacing w:line="288" w:lineRule="auto"/>
        <w:ind w:left="210"/>
        <w:rPr>
          <w:rFonts w:ascii="宋体" w:hAnsi="宋体" w:cs="宋体"/>
          <w:szCs w:val="21"/>
        </w:rPr>
      </w:pPr>
      <w:r>
        <w:rPr>
          <w:rFonts w:hint="eastAsia" w:ascii="宋体" w:hAnsi="宋体" w:cs="宋体"/>
          <w:kern w:val="0"/>
          <w:szCs w:val="21"/>
        </w:rPr>
        <w:t>简要描述场地内屋面雨水、道路雨水进入地面生态设施的衔接和引导设计，及相应的径流污染控制措施。</w:t>
      </w:r>
      <w:r>
        <w:rPr>
          <w:rFonts w:hint="eastAsia" w:ascii="宋体" w:hAnsi="宋体" w:cs="宋体"/>
          <w:szCs w:val="21"/>
        </w:rPr>
        <w:t>（300字以内）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9380" w:type="dxa"/>
          </w:tcPr>
          <w:p>
            <w:pPr>
              <w:pStyle w:val="13"/>
              <w:spacing w:line="288" w:lineRule="auto"/>
              <w:ind w:firstLine="420" w:firstLineChars="200"/>
              <w:jc w:val="both"/>
              <w:outlineLvl w:val="8"/>
              <w:rPr>
                <w:rFonts w:hAnsi="宋体"/>
                <w:bCs/>
                <w:color w:val="auto"/>
                <w:kern w:val="2"/>
                <w:sz w:val="21"/>
                <w:szCs w:val="21"/>
              </w:rPr>
            </w:pPr>
            <w:r>
              <w:rPr>
                <w:rFonts w:hint="eastAsia" w:hAnsi="宋体"/>
                <w:bCs/>
                <w:color w:val="auto"/>
                <w:kern w:val="2"/>
                <w:sz w:val="21"/>
                <w:szCs w:val="21"/>
              </w:rPr>
              <w:t>在地势较低的区域种植植物，通过植物截流、土壤过滤滞留处理小流量径流雨水，达到径流污染控制目的。地面生态设施同时也是径流污染控制措施，再通过下凹式绿地内设置的雨水口接至雨水管网。把所有硬质铺装地面的雨水集中起来先引入绿地，经过绿地入渗和净化处理后，再通过溢流口进入雨水管道里。考虑到项目处于北方地区，设置少量景观水体，充分发挥景观水体的调蓄功能，实现雨水利用最大化，建设雨水收集池。</w:t>
            </w:r>
          </w:p>
        </w:tc>
      </w:tr>
    </w:tbl>
    <w:p>
      <w:pPr>
        <w:pStyle w:val="12"/>
        <w:numPr>
          <w:ilvl w:val="0"/>
          <w:numId w:val="3"/>
        </w:numPr>
        <w:spacing w:line="288" w:lineRule="auto"/>
        <w:ind w:firstLineChars="0"/>
        <w:rPr>
          <w:rFonts w:ascii="宋体" w:hAnsi="宋体" w:cs="宋体"/>
          <w:kern w:val="0"/>
          <w:szCs w:val="21"/>
        </w:rPr>
      </w:pPr>
      <w:r>
        <w:rPr>
          <w:rFonts w:hint="eastAsia" w:ascii="宋体" w:hAnsi="宋体" w:cs="宋体"/>
          <w:kern w:val="0"/>
          <w:szCs w:val="21"/>
        </w:rPr>
        <w:t>硬质铺装地面中透水铺装面积的比例</w:t>
      </w:r>
    </w:p>
    <w:p>
      <w:pPr>
        <w:pStyle w:val="12"/>
        <w:spacing w:line="288" w:lineRule="auto"/>
        <w:ind w:left="-210" w:leftChars="-100" w:firstLine="630" w:firstLineChars="300"/>
        <w:rPr>
          <w:rFonts w:ascii="宋体" w:hAnsi="宋体" w:cs="宋体"/>
          <w:kern w:val="0"/>
          <w:szCs w:val="21"/>
        </w:rPr>
      </w:pPr>
      <w:r>
        <w:rPr>
          <w:rFonts w:hint="eastAsia" w:ascii="宋体" w:hAnsi="宋体" w:cs="宋体"/>
          <w:kern w:val="0"/>
          <w:szCs w:val="21"/>
        </w:rPr>
        <w:t>场地是否为湿陷性黄土：</w:t>
      </w:r>
      <w:r>
        <w:rPr>
          <w:rFonts w:hint="eastAsia" w:ascii="宋体" w:hAnsi="宋体" w:cs="宋体"/>
          <w:bCs/>
          <w:szCs w:val="21"/>
          <w:lang w:val="zh-CN"/>
        </w:rPr>
        <w:t>□</w:t>
      </w:r>
      <w:r>
        <w:rPr>
          <w:rFonts w:hint="eastAsia" w:ascii="宋体" w:hAnsi="宋体" w:cs="宋体"/>
          <w:szCs w:val="21"/>
        </w:rPr>
        <w:t>是、</w:t>
      </w:r>
      <w:r>
        <w:rPr>
          <w:rFonts w:hint="eastAsia" w:ascii="宋体" w:hAnsi="宋体" w:cs="宋体"/>
          <w:bCs/>
          <w:szCs w:val="21"/>
          <w:lang w:val="zh-CN"/>
        </w:rPr>
        <w:sym w:font="Wingdings 2" w:char="0052"/>
      </w:r>
      <w:r>
        <w:rPr>
          <w:rFonts w:hint="eastAsia" w:ascii="宋体" w:hAnsi="宋体" w:cs="宋体"/>
          <w:szCs w:val="21"/>
        </w:rPr>
        <w:t>否。如是，湿陷等级。</w:t>
      </w:r>
    </w:p>
    <w:p>
      <w:pPr>
        <w:pStyle w:val="12"/>
        <w:spacing w:line="288" w:lineRule="auto"/>
        <w:ind w:left="420" w:firstLine="0" w:firstLineChars="0"/>
        <w:rPr>
          <w:rFonts w:ascii="宋体" w:hAnsi="宋体" w:cs="宋体"/>
          <w:szCs w:val="21"/>
          <w:lang w:val="zh-CN"/>
        </w:rPr>
      </w:pPr>
      <w:r>
        <w:rPr>
          <w:rFonts w:hint="eastAsia" w:ascii="宋体" w:hAnsi="宋体" w:cs="宋体"/>
          <w:kern w:val="0"/>
          <w:szCs w:val="21"/>
        </w:rPr>
        <w:t>透水铺装面积之和</w:t>
      </w:r>
      <w:r>
        <w:rPr>
          <w:rFonts w:hint="eastAsia" w:ascii="宋体" w:hAnsi="宋体" w:cs="宋体"/>
          <w:szCs w:val="21"/>
          <w:lang w:val="zh-CN"/>
        </w:rPr>
        <w:t>：</w:t>
      </w:r>
      <w:r>
        <w:rPr>
          <w:rFonts w:hint="eastAsia" w:ascii="宋体" w:hAnsi="宋体" w:cs="宋体"/>
          <w:szCs w:val="21"/>
          <w:u w:val="single"/>
        </w:rPr>
        <w:t xml:space="preserve">   </w:t>
      </w:r>
      <w:r>
        <w:rPr>
          <w:rFonts w:hint="eastAsia" w:ascii="宋体" w:hAnsi="宋体" w:cs="宋体"/>
          <w:szCs w:val="21"/>
          <w:u w:val="single"/>
          <w:lang w:val="en-US" w:eastAsia="zh-CN"/>
        </w:rPr>
        <w:t>612</w:t>
      </w:r>
      <w:r>
        <w:rPr>
          <w:rFonts w:hint="eastAsia" w:ascii="宋体" w:hAnsi="宋体" w:cs="宋体"/>
          <w:szCs w:val="21"/>
          <w:u w:val="single"/>
        </w:rPr>
        <w:t xml:space="preserve">      </w:t>
      </w:r>
      <w:r>
        <w:rPr>
          <w:rFonts w:hint="eastAsia" w:ascii="宋体" w:hAnsi="宋体" w:cs="宋体"/>
          <w:szCs w:val="21"/>
          <w:lang w:val="zh-CN"/>
        </w:rPr>
        <w:t>m</w:t>
      </w:r>
      <w:r>
        <w:rPr>
          <w:rFonts w:hint="eastAsia" w:ascii="宋体" w:hAnsi="宋体" w:cs="宋体"/>
          <w:szCs w:val="21"/>
          <w:vertAlign w:val="superscript"/>
          <w:lang w:val="zh-CN"/>
        </w:rPr>
        <w:t>2</w:t>
      </w:r>
    </w:p>
    <w:p>
      <w:pPr>
        <w:pStyle w:val="12"/>
        <w:spacing w:line="288" w:lineRule="auto"/>
        <w:ind w:left="420" w:firstLine="0" w:firstLineChars="0"/>
        <w:rPr>
          <w:rFonts w:ascii="宋体" w:hAnsi="宋体" w:cs="宋体"/>
          <w:szCs w:val="21"/>
        </w:rPr>
      </w:pPr>
      <w:r>
        <w:rPr>
          <w:rFonts w:hint="eastAsia" w:ascii="宋体" w:hAnsi="宋体" w:cs="宋体"/>
          <w:szCs w:val="21"/>
          <w:lang w:val="zh-CN"/>
        </w:rPr>
        <w:t>硬质铺装地面</w:t>
      </w:r>
      <w:r>
        <w:rPr>
          <w:rFonts w:hint="eastAsia" w:ascii="宋体" w:hAnsi="宋体" w:cs="宋体"/>
          <w:kern w:val="0"/>
          <w:szCs w:val="21"/>
        </w:rPr>
        <w:t>面积</w:t>
      </w:r>
      <w:r>
        <w:rPr>
          <w:rFonts w:hint="eastAsia" w:ascii="宋体" w:hAnsi="宋体" w:cs="宋体"/>
          <w:szCs w:val="21"/>
          <w:lang w:val="zh-CN"/>
        </w:rPr>
        <w:t>：</w:t>
      </w:r>
      <w:r>
        <w:rPr>
          <w:rFonts w:hint="eastAsia" w:ascii="宋体" w:hAnsi="宋体" w:cs="宋体"/>
          <w:szCs w:val="21"/>
          <w:u w:val="single"/>
        </w:rPr>
        <w:t xml:space="preserve">  </w:t>
      </w:r>
      <w:r>
        <w:rPr>
          <w:rFonts w:hint="eastAsia" w:ascii="宋体" w:hAnsi="宋体" w:cs="宋体"/>
          <w:szCs w:val="21"/>
          <w:u w:val="single"/>
          <w:lang w:val="en-US" w:eastAsia="zh-CN"/>
        </w:rPr>
        <w:t>1021</w:t>
      </w:r>
      <w:r>
        <w:rPr>
          <w:rFonts w:hint="eastAsia" w:ascii="宋体" w:hAnsi="宋体" w:cs="宋体"/>
          <w:szCs w:val="21"/>
          <w:u w:val="single"/>
        </w:rPr>
        <w:t xml:space="preserve">       </w:t>
      </w:r>
      <w:r>
        <w:rPr>
          <w:rFonts w:hint="eastAsia" w:ascii="宋体" w:hAnsi="宋体" w:cs="宋体"/>
          <w:szCs w:val="21"/>
          <w:lang w:val="zh-CN"/>
        </w:rPr>
        <w:t>m</w:t>
      </w:r>
      <w:r>
        <w:rPr>
          <w:rFonts w:hint="eastAsia" w:ascii="宋体" w:hAnsi="宋体" w:cs="宋体"/>
          <w:szCs w:val="21"/>
          <w:vertAlign w:val="superscript"/>
          <w:lang w:val="zh-CN"/>
        </w:rPr>
        <w:t>2</w:t>
      </w:r>
    </w:p>
    <w:p>
      <w:pPr>
        <w:pStyle w:val="12"/>
        <w:spacing w:line="288" w:lineRule="auto"/>
        <w:ind w:left="420" w:firstLine="0" w:firstLineChars="0"/>
        <w:rPr>
          <w:rFonts w:ascii="宋体" w:hAnsi="宋体" w:cs="宋体"/>
          <w:szCs w:val="21"/>
        </w:rPr>
      </w:pPr>
      <w:r>
        <w:rPr>
          <w:rFonts w:hint="eastAsia" w:ascii="宋体" w:hAnsi="宋体" w:cs="宋体"/>
          <w:kern w:val="0"/>
          <w:szCs w:val="21"/>
        </w:rPr>
        <w:t>硬质铺装</w:t>
      </w:r>
      <w:r>
        <w:rPr>
          <w:rFonts w:hint="eastAsia" w:ascii="宋体" w:hAnsi="宋体" w:cs="宋体"/>
          <w:szCs w:val="21"/>
          <w:lang w:val="zh-CN"/>
        </w:rPr>
        <w:t>地面</w:t>
      </w:r>
      <w:r>
        <w:rPr>
          <w:rFonts w:hint="eastAsia" w:ascii="宋体" w:hAnsi="宋体" w:cs="宋体"/>
          <w:kern w:val="0"/>
          <w:szCs w:val="21"/>
        </w:rPr>
        <w:t>中透水铺装面积的比例</w:t>
      </w:r>
      <w:r>
        <w:rPr>
          <w:rFonts w:hint="eastAsia" w:ascii="宋体" w:hAnsi="宋体" w:cs="宋体"/>
          <w:szCs w:val="21"/>
          <w:lang w:val="zh-CN"/>
        </w:rPr>
        <w:t>：</w:t>
      </w:r>
      <w:r>
        <w:rPr>
          <w:rFonts w:hint="eastAsia" w:ascii="宋体" w:hAnsi="宋体" w:cs="宋体"/>
          <w:szCs w:val="21"/>
          <w:u w:val="single"/>
        </w:rPr>
        <w:t xml:space="preserve">   </w:t>
      </w:r>
      <w:r>
        <w:rPr>
          <w:rFonts w:hint="eastAsia" w:ascii="宋体" w:hAnsi="宋体" w:cs="宋体"/>
          <w:szCs w:val="21"/>
          <w:u w:val="single"/>
          <w:lang w:val="en-US" w:eastAsia="zh-CN"/>
        </w:rPr>
        <w:t>59.9</w:t>
      </w:r>
      <w:r>
        <w:rPr>
          <w:rFonts w:hint="eastAsia" w:ascii="宋体" w:hAnsi="宋体" w:cs="宋体"/>
          <w:szCs w:val="21"/>
          <w:u w:val="single"/>
        </w:rPr>
        <w:t xml:space="preserve">      </w:t>
      </w:r>
      <w:r>
        <w:rPr>
          <w:rFonts w:hint="eastAsia" w:ascii="宋体" w:hAnsi="宋体" w:cs="宋体"/>
          <w:szCs w:val="21"/>
          <w:lang w:val="zh-CN"/>
        </w:rPr>
        <w:t>%</w:t>
      </w:r>
    </w:p>
    <w:p>
      <w:pPr>
        <w:spacing w:line="288" w:lineRule="auto"/>
        <w:jc w:val="center"/>
        <w:rPr>
          <w:rFonts w:ascii="宋体" w:hAnsi="宋体" w:cs="宋体"/>
          <w:szCs w:val="21"/>
        </w:rPr>
      </w:pPr>
      <w:r>
        <w:rPr>
          <w:rFonts w:hint="eastAsia" w:ascii="宋体" w:hAnsi="宋体" w:cs="宋体"/>
          <w:kern w:val="0"/>
          <w:szCs w:val="21"/>
        </w:rPr>
        <w:t>透水铺装面积统计计算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227"/>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spacing w:line="288" w:lineRule="auto"/>
              <w:jc w:val="center"/>
              <w:rPr>
                <w:rFonts w:ascii="宋体" w:hAnsi="宋体" w:cs="宋体"/>
                <w:szCs w:val="21"/>
              </w:rPr>
            </w:pPr>
            <w:r>
              <w:rPr>
                <w:rFonts w:hint="eastAsia" w:ascii="宋体" w:hAnsi="宋体" w:cs="宋体"/>
                <w:szCs w:val="21"/>
              </w:rPr>
              <w:t>序号</w:t>
            </w:r>
          </w:p>
        </w:tc>
        <w:tc>
          <w:tcPr>
            <w:tcW w:w="3227" w:type="dxa"/>
          </w:tcPr>
          <w:p>
            <w:pPr>
              <w:spacing w:line="288" w:lineRule="auto"/>
              <w:jc w:val="center"/>
              <w:rPr>
                <w:rFonts w:ascii="宋体" w:hAnsi="宋体" w:cs="宋体"/>
                <w:szCs w:val="21"/>
              </w:rPr>
            </w:pPr>
            <w:r>
              <w:rPr>
                <w:rFonts w:hint="eastAsia" w:ascii="宋体" w:hAnsi="宋体" w:cs="宋体"/>
                <w:szCs w:val="21"/>
              </w:rPr>
              <w:t>透水铺装类型</w:t>
            </w:r>
          </w:p>
        </w:tc>
        <w:tc>
          <w:tcPr>
            <w:tcW w:w="2940" w:type="dxa"/>
          </w:tcPr>
          <w:p>
            <w:pPr>
              <w:spacing w:line="288" w:lineRule="auto"/>
              <w:jc w:val="center"/>
              <w:rPr>
                <w:rFonts w:ascii="宋体" w:hAnsi="宋体" w:cs="宋体"/>
                <w:szCs w:val="21"/>
              </w:rPr>
            </w:pPr>
            <w:r>
              <w:rPr>
                <w:rFonts w:hint="eastAsia" w:ascii="宋体" w:hAnsi="宋体" w:cs="宋体"/>
                <w:szCs w:val="21"/>
              </w:rPr>
              <w:t>面积（m</w:t>
            </w:r>
            <w:r>
              <w:rPr>
                <w:rFonts w:hint="eastAsia" w:ascii="宋体" w:hAnsi="宋体" w:cs="宋体"/>
                <w:szCs w:val="21"/>
                <w:vertAlign w:val="superscript"/>
              </w:rPr>
              <w:t>2</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spacing w:line="288" w:lineRule="auto"/>
              <w:rPr>
                <w:rFonts w:ascii="宋体" w:hAnsi="宋体" w:cs="宋体"/>
                <w:szCs w:val="21"/>
              </w:rPr>
            </w:pPr>
            <w:r>
              <w:rPr>
                <w:rFonts w:hint="eastAsia" w:ascii="宋体" w:hAnsi="宋体" w:cs="宋体"/>
                <w:szCs w:val="21"/>
              </w:rPr>
              <w:t>1</w:t>
            </w:r>
          </w:p>
        </w:tc>
        <w:tc>
          <w:tcPr>
            <w:tcW w:w="3227" w:type="dxa"/>
          </w:tcPr>
          <w:p>
            <w:pPr>
              <w:spacing w:line="288" w:lineRule="auto"/>
              <w:rPr>
                <w:rFonts w:ascii="宋体" w:hAnsi="宋体" w:cs="宋体"/>
                <w:szCs w:val="21"/>
              </w:rPr>
            </w:pPr>
            <w:r>
              <w:rPr>
                <w:rFonts w:hint="eastAsia" w:ascii="宋体" w:hAnsi="宋体" w:cs="宋体"/>
                <w:kern w:val="0"/>
                <w:szCs w:val="21"/>
              </w:rPr>
              <w:t>植草砖</w:t>
            </w:r>
          </w:p>
        </w:tc>
        <w:tc>
          <w:tcPr>
            <w:tcW w:w="2940" w:type="dxa"/>
            <w:vAlign w:val="top"/>
          </w:tcPr>
          <w:p>
            <w:pPr>
              <w:spacing w:line="288" w:lineRule="auto"/>
              <w:rPr>
                <w:rFonts w:ascii="宋体" w:hAnsi="宋体" w:eastAsia="宋体" w:cs="宋体"/>
                <w:kern w:val="2"/>
                <w:sz w:val="21"/>
                <w:szCs w:val="21"/>
                <w:lang w:val="en-US" w:eastAsia="zh-CN" w:bidi="ar-SA"/>
              </w:rPr>
            </w:pPr>
            <w:r>
              <w:rPr>
                <w:rFonts w:hint="eastAsia" w:ascii="宋体" w:hAnsi="宋体" w:cs="宋体"/>
                <w:szCs w:val="21"/>
              </w:rPr>
              <w:t>2</w:t>
            </w:r>
            <w:r>
              <w:rPr>
                <w:rFonts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spacing w:line="288" w:lineRule="auto"/>
              <w:rPr>
                <w:rFonts w:ascii="宋体" w:hAnsi="宋体" w:cs="宋体"/>
                <w:szCs w:val="21"/>
              </w:rPr>
            </w:pPr>
            <w:r>
              <w:rPr>
                <w:rFonts w:hint="eastAsia" w:ascii="宋体" w:hAnsi="宋体" w:cs="宋体"/>
                <w:szCs w:val="21"/>
              </w:rPr>
              <w:t>2</w:t>
            </w:r>
          </w:p>
        </w:tc>
        <w:tc>
          <w:tcPr>
            <w:tcW w:w="3227" w:type="dxa"/>
          </w:tcPr>
          <w:p>
            <w:pPr>
              <w:spacing w:line="288" w:lineRule="auto"/>
              <w:rPr>
                <w:rFonts w:ascii="宋体" w:hAnsi="宋体" w:cs="宋体"/>
                <w:szCs w:val="21"/>
              </w:rPr>
            </w:pPr>
            <w:r>
              <w:rPr>
                <w:rFonts w:hint="eastAsia" w:ascii="宋体" w:hAnsi="宋体" w:cs="宋体"/>
                <w:kern w:val="0"/>
                <w:szCs w:val="21"/>
              </w:rPr>
              <w:t>透水沥青</w:t>
            </w:r>
          </w:p>
        </w:tc>
        <w:tc>
          <w:tcPr>
            <w:tcW w:w="2940" w:type="dxa"/>
            <w:vAlign w:val="top"/>
          </w:tcPr>
          <w:p>
            <w:pPr>
              <w:spacing w:line="288" w:lineRule="auto"/>
              <w:rPr>
                <w:rFonts w:ascii="宋体" w:hAnsi="宋体" w:eastAsia="宋体" w:cs="宋体"/>
                <w:kern w:val="2"/>
                <w:sz w:val="21"/>
                <w:szCs w:val="21"/>
                <w:lang w:val="en-US" w:eastAsia="zh-CN" w:bidi="ar-SA"/>
              </w:rPr>
            </w:pPr>
            <w:r>
              <w:rPr>
                <w:rFonts w:ascii="宋体" w:hAnsi="宋体" w:cs="宋体"/>
                <w:szCs w:val="21"/>
              </w:rPr>
              <w:t>1</w:t>
            </w:r>
            <w:r>
              <w:rPr>
                <w:rFonts w:hint="eastAsia" w:ascii="宋体" w:hAnsi="宋体" w:cs="宋体"/>
                <w:szCs w:val="21"/>
              </w:rPr>
              <w:t>9</w:t>
            </w:r>
            <w:r>
              <w:rPr>
                <w:rFonts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spacing w:line="288" w:lineRule="auto"/>
              <w:rPr>
                <w:rFonts w:ascii="宋体" w:hAnsi="宋体" w:cs="宋体"/>
                <w:szCs w:val="21"/>
              </w:rPr>
            </w:pPr>
            <w:r>
              <w:rPr>
                <w:rFonts w:hint="eastAsia" w:ascii="宋体" w:hAnsi="宋体" w:cs="宋体"/>
                <w:szCs w:val="21"/>
              </w:rPr>
              <w:t>3</w:t>
            </w:r>
          </w:p>
        </w:tc>
        <w:tc>
          <w:tcPr>
            <w:tcW w:w="3227" w:type="dxa"/>
          </w:tcPr>
          <w:p>
            <w:pPr>
              <w:spacing w:line="288" w:lineRule="auto"/>
              <w:rPr>
                <w:rFonts w:ascii="宋体" w:hAnsi="宋体" w:cs="宋体"/>
                <w:szCs w:val="21"/>
              </w:rPr>
            </w:pPr>
            <w:r>
              <w:rPr>
                <w:rFonts w:hint="eastAsia" w:ascii="宋体" w:hAnsi="宋体" w:cs="宋体"/>
                <w:kern w:val="0"/>
                <w:szCs w:val="21"/>
              </w:rPr>
              <w:t>透水混凝土</w:t>
            </w:r>
          </w:p>
        </w:tc>
        <w:tc>
          <w:tcPr>
            <w:tcW w:w="2940" w:type="dxa"/>
            <w:vAlign w:val="top"/>
          </w:tcPr>
          <w:p>
            <w:pPr>
              <w:spacing w:line="288" w:lineRule="auto"/>
              <w:rPr>
                <w:rFonts w:ascii="宋体" w:hAnsi="宋体" w:eastAsia="宋体" w:cs="宋体"/>
                <w:kern w:val="2"/>
                <w:sz w:val="21"/>
                <w:szCs w:val="21"/>
                <w:lang w:val="en-US" w:eastAsia="zh-CN" w:bidi="ar-SA"/>
              </w:rPr>
            </w:pPr>
            <w:r>
              <w:rPr>
                <w:rFonts w:hint="eastAsia" w:ascii="宋体" w:hAnsi="宋体" w:cs="宋体"/>
                <w:szCs w:val="21"/>
              </w:rPr>
              <w:t>6</w:t>
            </w:r>
            <w:r>
              <w:rPr>
                <w:rFonts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jc w:val="center"/>
        </w:trPr>
        <w:tc>
          <w:tcPr>
            <w:tcW w:w="1383" w:type="dxa"/>
          </w:tcPr>
          <w:p>
            <w:pPr>
              <w:spacing w:line="288" w:lineRule="auto"/>
              <w:rPr>
                <w:rFonts w:ascii="宋体" w:hAnsi="宋体" w:cs="宋体"/>
                <w:szCs w:val="21"/>
              </w:rPr>
            </w:pPr>
            <w:r>
              <w:rPr>
                <w:rFonts w:hint="eastAsia" w:ascii="宋体" w:hAnsi="宋体" w:cs="宋体"/>
                <w:szCs w:val="21"/>
              </w:rPr>
              <w:t>4</w:t>
            </w:r>
          </w:p>
        </w:tc>
        <w:tc>
          <w:tcPr>
            <w:tcW w:w="3227" w:type="dxa"/>
          </w:tcPr>
          <w:p>
            <w:pPr>
              <w:spacing w:line="288" w:lineRule="auto"/>
              <w:rPr>
                <w:rFonts w:ascii="宋体" w:hAnsi="宋体" w:cs="宋体"/>
                <w:szCs w:val="21"/>
              </w:rPr>
            </w:pPr>
            <w:r>
              <w:rPr>
                <w:rFonts w:hint="eastAsia" w:ascii="宋体" w:hAnsi="宋体" w:cs="宋体"/>
                <w:kern w:val="0"/>
                <w:szCs w:val="21"/>
              </w:rPr>
              <w:t>透水地砖</w:t>
            </w:r>
          </w:p>
        </w:tc>
        <w:tc>
          <w:tcPr>
            <w:tcW w:w="2940" w:type="dxa"/>
            <w:vAlign w:val="top"/>
          </w:tcPr>
          <w:p>
            <w:pPr>
              <w:spacing w:line="288" w:lineRule="auto"/>
              <w:rPr>
                <w:rFonts w:ascii="宋体" w:hAnsi="宋体" w:eastAsia="宋体" w:cs="宋体"/>
                <w:kern w:val="2"/>
                <w:sz w:val="21"/>
                <w:szCs w:val="21"/>
                <w:lang w:val="en-US" w:eastAsia="zh-CN" w:bidi="ar-SA"/>
              </w:rPr>
            </w:pPr>
            <w:r>
              <w:rPr>
                <w:rFonts w:hint="eastAsia" w:ascii="宋体" w:hAnsi="宋体" w:cs="宋体"/>
                <w:szCs w:val="21"/>
              </w:rPr>
              <w:t>5</w:t>
            </w:r>
            <w:r>
              <w:rPr>
                <w:rFonts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spacing w:line="288" w:lineRule="auto"/>
              <w:rPr>
                <w:rFonts w:ascii="宋体" w:hAnsi="宋体" w:cs="宋体"/>
                <w:szCs w:val="21"/>
              </w:rPr>
            </w:pPr>
            <w:r>
              <w:rPr>
                <w:rFonts w:hint="eastAsia" w:ascii="宋体" w:hAnsi="宋体" w:cs="宋体"/>
                <w:szCs w:val="21"/>
              </w:rPr>
              <w:t>5</w:t>
            </w:r>
          </w:p>
        </w:tc>
        <w:tc>
          <w:tcPr>
            <w:tcW w:w="3227" w:type="dxa"/>
          </w:tcPr>
          <w:p>
            <w:pPr>
              <w:spacing w:line="288" w:lineRule="auto"/>
              <w:rPr>
                <w:rFonts w:ascii="宋体" w:hAnsi="宋体" w:cs="宋体"/>
                <w:szCs w:val="21"/>
              </w:rPr>
            </w:pPr>
            <w:r>
              <w:rPr>
                <w:rFonts w:hint="eastAsia" w:ascii="宋体" w:hAnsi="宋体" w:cs="宋体"/>
                <w:szCs w:val="21"/>
              </w:rPr>
              <w:t>其他</w:t>
            </w:r>
          </w:p>
        </w:tc>
        <w:tc>
          <w:tcPr>
            <w:tcW w:w="2940" w:type="dxa"/>
            <w:vAlign w:val="top"/>
          </w:tcPr>
          <w:p>
            <w:pPr>
              <w:spacing w:line="288" w:lineRule="auto"/>
              <w:rPr>
                <w:rFonts w:ascii="宋体" w:hAnsi="宋体" w:eastAsia="宋体" w:cs="宋体"/>
                <w:kern w:val="2"/>
                <w:sz w:val="21"/>
                <w:szCs w:val="21"/>
                <w:lang w:val="en-US" w:eastAsia="zh-CN" w:bidi="ar-SA"/>
              </w:rPr>
            </w:pPr>
            <w:r>
              <w:rPr>
                <w:rFonts w:ascii="宋体" w:hAnsi="宋体" w:cs="宋体"/>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3" w:type="dxa"/>
          </w:tcPr>
          <w:p>
            <w:pPr>
              <w:spacing w:line="288" w:lineRule="auto"/>
              <w:rPr>
                <w:rFonts w:ascii="宋体" w:hAnsi="宋体" w:cs="宋体"/>
                <w:szCs w:val="21"/>
              </w:rPr>
            </w:pPr>
          </w:p>
        </w:tc>
        <w:tc>
          <w:tcPr>
            <w:tcW w:w="3227" w:type="dxa"/>
          </w:tcPr>
          <w:p>
            <w:pPr>
              <w:spacing w:line="288" w:lineRule="auto"/>
              <w:rPr>
                <w:rFonts w:ascii="宋体" w:hAnsi="宋体" w:cs="宋体"/>
                <w:szCs w:val="21"/>
              </w:rPr>
            </w:pPr>
            <w:r>
              <w:rPr>
                <w:rFonts w:hint="eastAsia" w:ascii="宋体" w:hAnsi="宋体" w:cs="宋体"/>
                <w:szCs w:val="21"/>
              </w:rPr>
              <w:t>合计</w:t>
            </w:r>
          </w:p>
        </w:tc>
        <w:tc>
          <w:tcPr>
            <w:tcW w:w="2940" w:type="dxa"/>
            <w:vAlign w:val="top"/>
          </w:tcPr>
          <w:p>
            <w:pPr>
              <w:spacing w:line="288" w:lineRule="auto"/>
              <w:rPr>
                <w:rFonts w:ascii="宋体" w:hAnsi="宋体" w:eastAsia="宋体" w:cs="宋体"/>
                <w:kern w:val="2"/>
                <w:sz w:val="21"/>
                <w:szCs w:val="21"/>
                <w:lang w:val="en-US" w:eastAsia="zh-CN" w:bidi="ar-SA"/>
              </w:rPr>
            </w:pPr>
            <w:r>
              <w:rPr>
                <w:rFonts w:hint="eastAsia" w:ascii="宋体" w:hAnsi="宋体" w:cs="宋体"/>
                <w:szCs w:val="21"/>
              </w:rPr>
              <w:t>6</w:t>
            </w:r>
            <w:r>
              <w:rPr>
                <w:rFonts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0" w:type="dxa"/>
            <w:gridSpan w:val="2"/>
          </w:tcPr>
          <w:p>
            <w:pPr>
              <w:spacing w:line="288" w:lineRule="auto"/>
              <w:rPr>
                <w:rFonts w:ascii="宋体" w:hAnsi="宋体" w:cs="宋体"/>
                <w:szCs w:val="21"/>
              </w:rPr>
            </w:pPr>
            <w:r>
              <w:rPr>
                <w:rFonts w:hint="eastAsia" w:ascii="宋体" w:hAnsi="宋体" w:cs="宋体"/>
                <w:szCs w:val="21"/>
              </w:rPr>
              <w:t>硬质铺装总面积</w:t>
            </w:r>
          </w:p>
        </w:tc>
        <w:tc>
          <w:tcPr>
            <w:tcW w:w="2940" w:type="dxa"/>
          </w:tcPr>
          <w:p>
            <w:pPr>
              <w:spacing w:line="288" w:lineRule="auto"/>
              <w:rPr>
                <w:rFonts w:hint="default" w:ascii="宋体" w:hAnsi="宋体" w:eastAsia="宋体" w:cs="宋体"/>
                <w:szCs w:val="21"/>
                <w:lang w:val="en-US" w:eastAsia="zh-CN"/>
              </w:rPr>
            </w:pPr>
            <w:r>
              <w:rPr>
                <w:rFonts w:hint="eastAsia" w:ascii="宋体" w:hAnsi="宋体" w:cs="宋体"/>
                <w:szCs w:val="21"/>
                <w:lang w:val="en-US" w:eastAsia="zh-CN"/>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0" w:type="dxa"/>
            <w:gridSpan w:val="2"/>
          </w:tcPr>
          <w:p>
            <w:pPr>
              <w:spacing w:line="288" w:lineRule="auto"/>
              <w:rPr>
                <w:rFonts w:ascii="宋体" w:hAnsi="宋体" w:cs="宋体"/>
                <w:szCs w:val="21"/>
              </w:rPr>
            </w:pPr>
            <w:r>
              <w:rPr>
                <w:rFonts w:hint="eastAsia" w:ascii="宋体" w:hAnsi="宋体" w:cs="宋体"/>
                <w:kern w:val="0"/>
                <w:szCs w:val="21"/>
              </w:rPr>
              <w:t>硬质铺装地面中透水铺装面积的比例（%）</w:t>
            </w:r>
          </w:p>
        </w:tc>
        <w:tc>
          <w:tcPr>
            <w:tcW w:w="2940" w:type="dxa"/>
          </w:tcPr>
          <w:p>
            <w:pPr>
              <w:spacing w:line="288" w:lineRule="auto"/>
              <w:rPr>
                <w:rFonts w:ascii="宋体" w:hAnsi="宋体" w:cs="宋体"/>
                <w:szCs w:val="21"/>
              </w:rPr>
            </w:pPr>
            <w:r>
              <w:rPr>
                <w:rFonts w:hint="eastAsia" w:ascii="宋体" w:hAnsi="宋体" w:cs="宋体"/>
                <w:szCs w:val="21"/>
              </w:rPr>
              <w:t>5</w:t>
            </w:r>
            <w:r>
              <w:rPr>
                <w:rFonts w:ascii="宋体" w:hAnsi="宋体" w:cs="宋体"/>
                <w:szCs w:val="21"/>
              </w:rPr>
              <w:t>9.9%</w:t>
            </w:r>
          </w:p>
        </w:tc>
      </w:tr>
    </w:tbl>
    <w:p>
      <w:pPr>
        <w:autoSpaceDE w:val="0"/>
        <w:autoSpaceDN w:val="0"/>
        <w:adjustRightInd w:val="0"/>
        <w:spacing w:line="288" w:lineRule="auto"/>
        <w:jc w:val="left"/>
        <w:rPr>
          <w:rFonts w:ascii="宋体" w:hAnsi="宋体" w:cs="宋体"/>
          <w:kern w:val="0"/>
          <w:szCs w:val="21"/>
        </w:rPr>
      </w:pPr>
    </w:p>
    <w:p>
      <w:pPr>
        <w:autoSpaceDE w:val="0"/>
        <w:autoSpaceDN w:val="0"/>
        <w:adjustRightInd w:val="0"/>
        <w:spacing w:line="288" w:lineRule="auto"/>
        <w:jc w:val="left"/>
        <w:rPr>
          <w:rFonts w:ascii="宋体" w:hAnsi="宋体" w:cs="宋体"/>
          <w:szCs w:val="21"/>
        </w:rPr>
      </w:pPr>
      <w:r>
        <w:rPr>
          <w:rFonts w:hint="eastAsia" w:ascii="宋体" w:hAnsi="宋体" w:cs="宋体"/>
          <w:kern w:val="0"/>
          <w:szCs w:val="21"/>
        </w:rPr>
        <w:t>当透水铺装下为地下室顶板时，简要描述雨水的渗透方式</w:t>
      </w:r>
      <w:r>
        <w:rPr>
          <w:rFonts w:hint="eastAsia" w:ascii="宋体" w:hAnsi="宋体" w:cs="宋体"/>
          <w:szCs w:val="21"/>
        </w:rPr>
        <w:t>（200字以内）。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14" w:type="dxa"/>
          </w:tcPr>
          <w:p>
            <w:pPr>
              <w:pStyle w:val="13"/>
              <w:spacing w:line="288" w:lineRule="auto"/>
              <w:ind w:firstLine="420" w:firstLineChars="200"/>
              <w:jc w:val="both"/>
              <w:outlineLvl w:val="8"/>
              <w:rPr>
                <w:rFonts w:hAnsi="宋体"/>
                <w:bCs/>
                <w:color w:val="auto"/>
                <w:kern w:val="2"/>
                <w:sz w:val="21"/>
                <w:szCs w:val="21"/>
              </w:rPr>
            </w:pPr>
            <w:r>
              <w:rPr>
                <w:rFonts w:hint="eastAsia" w:hAnsi="宋体"/>
                <w:bCs/>
                <w:color w:val="auto"/>
                <w:kern w:val="2"/>
                <w:sz w:val="21"/>
                <w:szCs w:val="21"/>
              </w:rPr>
              <w:t>本项目没有设置地下室。</w:t>
            </w:r>
          </w:p>
        </w:tc>
      </w:tr>
    </w:tbl>
    <w:p>
      <w:pPr>
        <w:pStyle w:val="12"/>
        <w:numPr>
          <w:ilvl w:val="0"/>
          <w:numId w:val="2"/>
        </w:numPr>
        <w:spacing w:line="288" w:lineRule="auto"/>
        <w:ind w:left="630" w:leftChars="100" w:hangingChars="200"/>
        <w:rPr>
          <w:rFonts w:ascii="宋体" w:hAnsi="宋体" w:cs="宋体"/>
          <w:bCs/>
          <w:szCs w:val="21"/>
          <w:lang w:val="zh-CN"/>
        </w:rPr>
      </w:pPr>
      <w:r>
        <w:rPr>
          <w:rFonts w:hint="eastAsia" w:ascii="宋体" w:hAnsi="宋体" w:cs="宋体"/>
          <w:bCs/>
          <w:szCs w:val="21"/>
          <w:lang w:val="zh-CN"/>
        </w:rPr>
        <w:t>项目档案信息表与证书关键指标</w:t>
      </w:r>
    </w:p>
    <w:p>
      <w:pPr>
        <w:spacing w:line="288" w:lineRule="auto"/>
        <w:rPr>
          <w:rFonts w:ascii="宋体" w:hAnsi="宋体" w:cs="宋体"/>
          <w:szCs w:val="21"/>
        </w:rPr>
      </w:pPr>
      <w:r>
        <w:rPr>
          <w:rFonts w:hint="eastAsia" w:ascii="宋体" w:hAnsi="宋体" w:cs="宋体"/>
          <w:szCs w:val="21"/>
        </w:rPr>
        <w:t>透水铺装占硬质铺装面积比：</w:t>
      </w:r>
      <w:r>
        <w:rPr>
          <w:rFonts w:hint="eastAsia" w:ascii="宋体" w:hAnsi="宋体" w:cs="宋体"/>
          <w:szCs w:val="21"/>
          <w:u w:val="single"/>
        </w:rPr>
        <w:t xml:space="preserve">   </w:t>
      </w:r>
      <w:r>
        <w:rPr>
          <w:rFonts w:hint="eastAsia" w:ascii="宋体" w:hAnsi="宋体" w:cs="宋体"/>
          <w:szCs w:val="21"/>
          <w:u w:val="single"/>
          <w:lang w:val="en-US" w:eastAsia="zh-CN"/>
        </w:rPr>
        <w:t>59.9</w:t>
      </w:r>
      <w:r>
        <w:rPr>
          <w:rFonts w:hint="eastAsia" w:ascii="宋体" w:hAnsi="宋体" w:cs="宋体"/>
          <w:szCs w:val="21"/>
          <w:u w:val="single"/>
        </w:rPr>
        <w:t xml:space="preserve">      </w:t>
      </w:r>
      <w:r>
        <w:rPr>
          <w:rFonts w:hint="eastAsia" w:ascii="宋体" w:hAnsi="宋体" w:cs="宋体"/>
          <w:szCs w:val="21"/>
          <w:lang w:val="zh-CN"/>
        </w:rPr>
        <w:t>%</w:t>
      </w:r>
    </w:p>
    <w:p>
      <w:pPr>
        <w:spacing w:line="288" w:lineRule="auto"/>
        <w:rPr>
          <w:rFonts w:ascii="宋体" w:hAnsi="宋体" w:cs="宋体"/>
          <w:szCs w:val="21"/>
        </w:rPr>
      </w:pPr>
      <w:r>
        <w:rPr>
          <w:rFonts w:hint="eastAsia" w:ascii="宋体" w:hAnsi="宋体" w:cs="宋体"/>
          <w:szCs w:val="21"/>
        </w:rPr>
        <w:t>调蓄雨水功能的绿地和水体面积占绿地面积比：</w:t>
      </w:r>
      <w:r>
        <w:rPr>
          <w:rFonts w:hint="eastAsia" w:ascii="宋体" w:hAnsi="宋体" w:cs="宋体"/>
          <w:szCs w:val="21"/>
          <w:u w:val="single"/>
        </w:rPr>
        <w:t xml:space="preserve">   </w:t>
      </w:r>
      <w:r>
        <w:rPr>
          <w:rFonts w:hint="eastAsia" w:ascii="宋体" w:hAnsi="宋体" w:cs="宋体"/>
          <w:szCs w:val="21"/>
          <w:u w:val="single"/>
          <w:lang w:val="en-US" w:eastAsia="zh-CN"/>
        </w:rPr>
        <w:t>66.0</w:t>
      </w:r>
      <w:r>
        <w:rPr>
          <w:rFonts w:hint="eastAsia" w:ascii="宋体" w:hAnsi="宋体" w:cs="宋体"/>
          <w:szCs w:val="21"/>
          <w:u w:val="single"/>
        </w:rPr>
        <w:t xml:space="preserve">      </w:t>
      </w:r>
      <w:r>
        <w:rPr>
          <w:rFonts w:hint="eastAsia" w:ascii="宋体" w:hAnsi="宋体" w:cs="宋体"/>
          <w:szCs w:val="21"/>
          <w:lang w:val="zh-CN"/>
        </w:rPr>
        <w:t>%</w:t>
      </w:r>
    </w:p>
    <w:p>
      <w:pPr>
        <w:rPr>
          <w:rFonts w:ascii="宋体" w:hAnsi="宋体" w:cs="宋体"/>
          <w:szCs w:val="21"/>
        </w:rPr>
      </w:pPr>
    </w:p>
    <w:p>
      <w:pPr>
        <w:numPr>
          <w:ilvl w:val="0"/>
          <w:numId w:val="1"/>
        </w:numPr>
        <w:spacing w:line="288" w:lineRule="auto"/>
        <w:rPr>
          <w:rFonts w:ascii="宋体" w:hAnsi="宋体" w:cs="宋体"/>
          <w:b/>
          <w:bCs/>
          <w:kern w:val="0"/>
          <w:szCs w:val="21"/>
        </w:rPr>
      </w:pPr>
      <w:r>
        <w:rPr>
          <w:rFonts w:hint="eastAsia" w:ascii="宋体" w:hAnsi="宋体" w:cs="宋体"/>
          <w:b/>
          <w:bCs/>
          <w:kern w:val="0"/>
          <w:szCs w:val="21"/>
        </w:rPr>
        <w:t>证明材料</w:t>
      </w:r>
    </w:p>
    <w:p>
      <w:pPr>
        <w:rPr>
          <w:rFonts w:ascii="宋体" w:hAnsi="宋体" w:cs="宋体"/>
          <w:szCs w:val="21"/>
        </w:rPr>
      </w:pPr>
      <w:r>
        <w:rPr>
          <w:rFonts w:hint="eastAsia" w:ascii="宋体" w:hAnsi="宋体" w:cs="宋体"/>
          <w:szCs w:val="21"/>
        </w:rPr>
        <w:t>建议提交材料及技术要求：</w:t>
      </w:r>
    </w:p>
    <w:tbl>
      <w:tblPr>
        <w:tblStyle w:val="7"/>
        <w:tblW w:w="0" w:type="auto"/>
        <w:tblInd w:w="-11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70"/>
        <w:gridCol w:w="2919"/>
        <w:gridCol w:w="2255"/>
        <w:gridCol w:w="845"/>
        <w:gridCol w:w="810"/>
        <w:gridCol w:w="7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0" w:type="dxa"/>
            <w:shd w:val="clear" w:color="DBE5F1" w:fill="DBE5F1"/>
            <w:vAlign w:val="center"/>
          </w:tcPr>
          <w:p>
            <w:pPr>
              <w:widowControl/>
              <w:jc w:val="left"/>
              <w:rPr>
                <w:rFonts w:ascii="宋体" w:hAnsi="宋体" w:cs="宋体"/>
                <w:bCs/>
                <w:kern w:val="0"/>
                <w:szCs w:val="21"/>
              </w:rPr>
            </w:pPr>
            <w:r>
              <w:rPr>
                <w:rFonts w:hint="eastAsia" w:ascii="宋体" w:hAnsi="宋体" w:cs="宋体"/>
                <w:bCs/>
                <w:kern w:val="0"/>
                <w:szCs w:val="21"/>
              </w:rPr>
              <w:t>专业分类</w:t>
            </w:r>
          </w:p>
        </w:tc>
        <w:tc>
          <w:tcPr>
            <w:tcW w:w="1170"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材料名称</w:t>
            </w:r>
          </w:p>
        </w:tc>
        <w:tc>
          <w:tcPr>
            <w:tcW w:w="2919"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技术要求</w:t>
            </w:r>
          </w:p>
        </w:tc>
        <w:tc>
          <w:tcPr>
            <w:tcW w:w="2255"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评价要点</w:t>
            </w:r>
          </w:p>
        </w:tc>
        <w:tc>
          <w:tcPr>
            <w:tcW w:w="845" w:type="dxa"/>
            <w:shd w:val="clear" w:color="DBE5F1" w:fill="DBE5F1"/>
            <w:vAlign w:val="center"/>
          </w:tcPr>
          <w:p>
            <w:pPr>
              <w:widowControl/>
              <w:jc w:val="left"/>
              <w:rPr>
                <w:rFonts w:ascii="宋体" w:hAnsi="宋体" w:cs="宋体"/>
                <w:bCs/>
                <w:kern w:val="0"/>
                <w:szCs w:val="21"/>
              </w:rPr>
            </w:pPr>
            <w:r>
              <w:rPr>
                <w:rFonts w:hint="eastAsia" w:ascii="宋体" w:hAnsi="宋体" w:cs="宋体"/>
                <w:bCs/>
                <w:kern w:val="0"/>
                <w:szCs w:val="21"/>
              </w:rPr>
              <w:t>评价阶段</w:t>
            </w:r>
          </w:p>
        </w:tc>
        <w:tc>
          <w:tcPr>
            <w:tcW w:w="810" w:type="dxa"/>
            <w:shd w:val="clear" w:color="DBE5F1" w:fill="DBE5F1"/>
            <w:vAlign w:val="center"/>
          </w:tcPr>
          <w:p>
            <w:pPr>
              <w:widowControl/>
              <w:jc w:val="left"/>
              <w:rPr>
                <w:rFonts w:ascii="宋体" w:hAnsi="宋体" w:cs="宋体"/>
                <w:bCs/>
                <w:kern w:val="0"/>
                <w:szCs w:val="21"/>
              </w:rPr>
            </w:pPr>
            <w:r>
              <w:rPr>
                <w:rFonts w:hint="eastAsia" w:ascii="宋体" w:hAnsi="宋体" w:cs="宋体"/>
                <w:bCs/>
                <w:kern w:val="0"/>
                <w:szCs w:val="21"/>
              </w:rPr>
              <w:t>建筑类型</w:t>
            </w:r>
          </w:p>
        </w:tc>
        <w:tc>
          <w:tcPr>
            <w:tcW w:w="795"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是否提交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0" w:hRule="atLeast"/>
        </w:trPr>
        <w:tc>
          <w:tcPr>
            <w:tcW w:w="720" w:type="dxa"/>
            <w:vMerge w:val="restart"/>
            <w:tcBorders>
              <w:top w:val="single" w:color="auto" w:sz="4" w:space="0"/>
              <w:left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建筑设计</w:t>
            </w:r>
          </w:p>
        </w:tc>
        <w:tc>
          <w:tcPr>
            <w:tcW w:w="1170" w:type="dxa"/>
            <w:vMerge w:val="restart"/>
            <w:tcBorders>
              <w:top w:val="single" w:color="auto" w:sz="4" w:space="0"/>
              <w:left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总平面图</w:t>
            </w:r>
          </w:p>
        </w:tc>
        <w:tc>
          <w:tcPr>
            <w:tcW w:w="2919" w:type="dxa"/>
            <w:vMerge w:val="restart"/>
            <w:tcBorders>
              <w:top w:val="single" w:color="auto" w:sz="4" w:space="0"/>
              <w:left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应体现建筑布局，以及项目总用地面积，总户数、总人口、绿地及铺装面积等技术经济指标</w:t>
            </w:r>
          </w:p>
        </w:tc>
        <w:tc>
          <w:tcPr>
            <w:tcW w:w="2255" w:type="dxa"/>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下凹式绿地、雨水花园等有调蓄雨水功能的绿地和水体的面积之和占绿地面积的比例</w:t>
            </w:r>
          </w:p>
        </w:tc>
        <w:tc>
          <w:tcPr>
            <w:tcW w:w="845" w:type="dxa"/>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10" w:type="dxa"/>
            <w:tcBorders>
              <w:top w:val="single" w:color="auto" w:sz="4"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5" w:type="dxa"/>
            <w:tcBorders>
              <w:top w:val="single" w:color="auto" w:sz="4"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p>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是</w:t>
            </w:r>
          </w:p>
          <w:p>
            <w:pPr>
              <w:widowControl/>
              <w:jc w:val="left"/>
              <w:rPr>
                <w:rFonts w:ascii="宋体" w:hAnsi="宋体" w:cs="宋体"/>
                <w:kern w:val="0"/>
                <w:szCs w:val="21"/>
              </w:rPr>
            </w:pPr>
          </w:p>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1170" w:type="dxa"/>
            <w:vMerge w:val="continue"/>
            <w:tcBorders>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p>
        </w:tc>
        <w:tc>
          <w:tcPr>
            <w:tcW w:w="2919" w:type="dxa"/>
            <w:vMerge w:val="continue"/>
            <w:tcBorders>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225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硬质铺装地面中透水铺装面积的比例</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景观设计</w:t>
            </w:r>
          </w:p>
        </w:tc>
        <w:tc>
          <w:tcPr>
            <w:tcW w:w="117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景观总平面图</w:t>
            </w:r>
          </w:p>
        </w:tc>
        <w:tc>
          <w:tcPr>
            <w:tcW w:w="2919"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应体现项目红线范围内下凹绿地、雨水花园的位置和面积（指标要求与自评一致）</w:t>
            </w:r>
          </w:p>
        </w:tc>
        <w:tc>
          <w:tcPr>
            <w:tcW w:w="225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下凹式绿地、雨水花园等有调蓄雨水功能的绿地和水体的面积之和占绿地面积的比例</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景观设计详图</w:t>
            </w:r>
          </w:p>
        </w:tc>
        <w:tc>
          <w:tcPr>
            <w:tcW w:w="2919"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应体现提供下凹绿地、雨水花园剖面设计详图，并应体现与周边道路的高差</w:t>
            </w:r>
          </w:p>
        </w:tc>
        <w:tc>
          <w:tcPr>
            <w:tcW w:w="225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下凹式绿地、雨水花园等有调蓄雨水功能的绿地和水体的面积之和占绿地面积的比例</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bCs/>
                <w:kern w:val="0"/>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场地铺装平面图</w:t>
            </w:r>
          </w:p>
        </w:tc>
        <w:tc>
          <w:tcPr>
            <w:tcW w:w="2919"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应标明在场地铺装图中室外透水地面位置、面积、铺装材料及构造做法等（指标要求与自评一致）</w:t>
            </w:r>
          </w:p>
        </w:tc>
        <w:tc>
          <w:tcPr>
            <w:tcW w:w="225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硬质铺装地面中透水铺装面积的比例</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给排水设计</w:t>
            </w:r>
          </w:p>
        </w:tc>
        <w:tc>
          <w:tcPr>
            <w:tcW w:w="117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场地雨水排水图</w:t>
            </w:r>
          </w:p>
        </w:tc>
        <w:tc>
          <w:tcPr>
            <w:tcW w:w="2919"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应提供屋面雨水、道路雨水排水图纸，并提供其进入地面生态设施的设计图</w:t>
            </w:r>
          </w:p>
        </w:tc>
        <w:tc>
          <w:tcPr>
            <w:tcW w:w="225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合理衔接和引导屋面雨水、道路雨水进入地面生态设施</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其他材料</w:t>
            </w:r>
          </w:p>
        </w:tc>
        <w:tc>
          <w:tcPr>
            <w:tcW w:w="1170" w:type="dxa"/>
            <w:vMerge w:val="restart"/>
            <w:tcBorders>
              <w:top w:val="single" w:color="auto" w:sz="6" w:space="0"/>
              <w:left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雨水专项规划设计方案或场地雨水综合利用方案</w:t>
            </w:r>
          </w:p>
        </w:tc>
        <w:tc>
          <w:tcPr>
            <w:tcW w:w="2919" w:type="dxa"/>
            <w:vMerge w:val="restart"/>
            <w:tcBorders>
              <w:top w:val="single" w:color="auto" w:sz="6" w:space="0"/>
              <w:left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大于10hm2的场地应提供雨水专项设计方案，包括规划依据、原则、范围、标准、目标、雨水系统规划；小于10hm2的场地应提供场地雨水综合利用方案，应介绍根据场地条件合理采用雨水控制利用措施</w:t>
            </w:r>
          </w:p>
        </w:tc>
        <w:tc>
          <w:tcPr>
            <w:tcW w:w="225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合理衔接和引导屋面雨水、道路雨水进入地面生态设施</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1170" w:type="dxa"/>
            <w:vMerge w:val="continue"/>
            <w:tcBorders>
              <w:left w:val="single" w:color="auto" w:sz="6" w:space="0"/>
              <w:right w:val="single" w:color="auto" w:sz="6" w:space="0"/>
            </w:tcBorders>
            <w:vAlign w:val="center"/>
          </w:tcPr>
          <w:p>
            <w:pPr>
              <w:widowControl/>
              <w:jc w:val="left"/>
              <w:rPr>
                <w:rFonts w:ascii="宋体" w:hAnsi="宋体" w:cs="宋体"/>
                <w:bCs/>
                <w:kern w:val="0"/>
                <w:szCs w:val="21"/>
              </w:rPr>
            </w:pPr>
          </w:p>
        </w:tc>
        <w:tc>
          <w:tcPr>
            <w:tcW w:w="2919" w:type="dxa"/>
            <w:vMerge w:val="continue"/>
            <w:tcBorders>
              <w:left w:val="single" w:color="auto" w:sz="6" w:space="0"/>
              <w:right w:val="single" w:color="auto" w:sz="6" w:space="0"/>
            </w:tcBorders>
            <w:vAlign w:val="center"/>
          </w:tcPr>
          <w:p>
            <w:pPr>
              <w:widowControl/>
              <w:jc w:val="left"/>
              <w:rPr>
                <w:rFonts w:ascii="宋体" w:hAnsi="宋体" w:cs="宋体"/>
                <w:kern w:val="0"/>
                <w:szCs w:val="21"/>
              </w:rPr>
            </w:pPr>
          </w:p>
        </w:tc>
        <w:tc>
          <w:tcPr>
            <w:tcW w:w="225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下凹式绿地、雨水花园等有调蓄雨水功能的绿地和水体的面积之和占绿地面积的比例</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bCs/>
                <w:kern w:val="0"/>
                <w:szCs w:val="21"/>
              </w:rPr>
            </w:pPr>
          </w:p>
        </w:tc>
        <w:tc>
          <w:tcPr>
            <w:tcW w:w="1170"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bCs/>
                <w:kern w:val="0"/>
                <w:szCs w:val="21"/>
              </w:rPr>
            </w:pPr>
          </w:p>
        </w:tc>
        <w:tc>
          <w:tcPr>
            <w:tcW w:w="2919"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Cs w:val="21"/>
              </w:rPr>
            </w:pPr>
          </w:p>
        </w:tc>
        <w:tc>
          <w:tcPr>
            <w:tcW w:w="2255"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硬质铺装地面中透水铺装面积的比例</w:t>
            </w:r>
          </w:p>
        </w:tc>
        <w:tc>
          <w:tcPr>
            <w:tcW w:w="845"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10"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D"/>
    <w:multiLevelType w:val="multilevel"/>
    <w:tmpl w:val="000000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59"/>
    <w:multiLevelType w:val="singleLevel"/>
    <w:tmpl w:val="00000059"/>
    <w:lvl w:ilvl="0" w:tentative="0">
      <w:start w:val="1"/>
      <w:numFmt w:val="bullet"/>
      <w:lvlText w:val=""/>
      <w:lvlJc w:val="left"/>
      <w:pPr>
        <w:ind w:left="420" w:hanging="420"/>
      </w:pPr>
      <w:rPr>
        <w:rFonts w:hint="default" w:ascii="Wingdings" w:hAnsi="Wingdings"/>
      </w:rPr>
    </w:lvl>
  </w:abstractNum>
  <w:abstractNum w:abstractNumId="2">
    <w:nsid w:val="0000006A"/>
    <w:multiLevelType w:val="multilevel"/>
    <w:tmpl w:val="0000006A"/>
    <w:lvl w:ilvl="0" w:tentative="0">
      <w:start w:val="1"/>
      <w:numFmt w:val="bullet"/>
      <w:lvlText w:val=""/>
      <w:lvlJc w:val="left"/>
      <w:pPr>
        <w:ind w:left="4106"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78"/>
    <w:rsid w:val="002A1F78"/>
    <w:rsid w:val="00546C8E"/>
    <w:rsid w:val="007842E9"/>
    <w:rsid w:val="00935CE2"/>
    <w:rsid w:val="00B46C65"/>
    <w:rsid w:val="0A342FBB"/>
    <w:rsid w:val="10C60DBC"/>
    <w:rsid w:val="276B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2"/>
    <w:next w:val="1"/>
    <w:link w:val="11"/>
    <w:qFormat/>
    <w:uiPriority w:val="0"/>
    <w:pPr>
      <w:snapToGrid w:val="0"/>
      <w:spacing w:before="0" w:after="0" w:line="240" w:lineRule="auto"/>
      <w:jc w:val="left"/>
      <w:outlineLvl w:val="2"/>
    </w:pPr>
    <w:rPr>
      <w:rFonts w:ascii="黑体" w:hAnsi="黑体" w:eastAsia="黑体" w:cs="Times New Roman"/>
      <w:b w:val="0"/>
      <w:bCs w:val="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3 Char"/>
    <w:basedOn w:val="8"/>
    <w:link w:val="3"/>
    <w:uiPriority w:val="0"/>
    <w:rPr>
      <w:rFonts w:ascii="黑体" w:hAnsi="黑体" w:eastAsia="黑体" w:cs="Times New Roman"/>
      <w:sz w:val="24"/>
      <w:szCs w:val="32"/>
    </w:rPr>
  </w:style>
  <w:style w:type="paragraph" w:customStyle="1" w:styleId="12">
    <w:name w:val="列出段落1"/>
    <w:basedOn w:val="1"/>
    <w:qFormat/>
    <w:uiPriority w:val="0"/>
    <w:pPr>
      <w:ind w:firstLine="420" w:firstLineChars="20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4">
    <w:name w:val="标题 2 Char"/>
    <w:basedOn w:val="8"/>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298</Words>
  <Characters>1704</Characters>
  <Lines>14</Lines>
  <Paragraphs>3</Paragraphs>
  <TotalTime>1</TotalTime>
  <ScaleCrop>false</ScaleCrop>
  <LinksUpToDate>false</LinksUpToDate>
  <CharactersWithSpaces>1999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2018-06-20T02:46:00Z</dcterms:created>
  <dc:creator>jinj</dc:creator>
  <cp:lastModifiedBy>沐羽颜</cp:lastModifiedBy>
  <dcterms:modified xsi:type="dcterms:W3CDTF">2022-03-03T13:32:03Z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CBA49CBB0B68401B9606BC153DC9685A</vt:lpwstr>
  </property>
</Properties>
</file>