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5.2.2外门窗、玻璃幕墙的可开启部分能使建筑获得良好的通风。（评价总分值6分）</w:t>
      </w:r>
      <w:bookmarkStart w:id="0" w:name="_GoBack"/>
      <w:bookmarkEnd w:id="0"/>
    </w:p>
    <w:p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参评情况</w:t>
      </w:r>
    </w:p>
    <w:p>
      <w:pPr>
        <w:spacing w:line="288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sym w:font="Wingdings 2" w:char="0052"/>
      </w:r>
      <w:r>
        <w:rPr>
          <w:rFonts w:hint="eastAsia" w:ascii="宋体" w:hAnsi="宋体" w:cs="宋体"/>
          <w:kern w:val="0"/>
          <w:szCs w:val="21"/>
        </w:rPr>
        <w:t>参评   □不参评</w:t>
      </w:r>
    </w:p>
    <w:p>
      <w:pPr>
        <w:spacing w:line="288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原因（□项目有严格室内温湿度要求、□项目为</w:t>
      </w:r>
      <w:r>
        <w:rPr>
          <w:rFonts w:hint="eastAsia" w:ascii="宋体" w:hAnsi="宋体" w:cs="宋体"/>
          <w:szCs w:val="21"/>
        </w:rPr>
        <w:t>不宜进行自然通风的建筑或房间、□建筑层数大于18层时，18层以上部分不参评、</w:t>
      </w:r>
      <w:r>
        <w:rPr>
          <w:rFonts w:hint="eastAsia" w:ascii="宋体" w:hAnsi="宋体" w:cs="宋体"/>
          <w:kern w:val="0"/>
          <w:szCs w:val="21"/>
        </w:rPr>
        <w:t>□其他）</w:t>
      </w:r>
    </w:p>
    <w:p>
      <w:pPr>
        <w:spacing w:line="288" w:lineRule="auto"/>
        <w:jc w:val="left"/>
        <w:rPr>
          <w:rFonts w:ascii="宋体" w:hAnsi="宋体" w:cs="宋体"/>
          <w:szCs w:val="21"/>
        </w:rPr>
      </w:pPr>
    </w:p>
    <w:p>
      <w:pPr>
        <w:pStyle w:val="13"/>
        <w:numPr>
          <w:ilvl w:val="0"/>
          <w:numId w:val="1"/>
        </w:numPr>
        <w:spacing w:line="288" w:lineRule="auto"/>
        <w:ind w:firstLineChars="0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得分自评</w:t>
      </w:r>
    </w:p>
    <w:tbl>
      <w:tblPr>
        <w:tblStyle w:val="6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381"/>
        <w:gridCol w:w="1580"/>
        <w:gridCol w:w="1581"/>
        <w:gridCol w:w="1629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381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外门窗/玻璃幕墙设置情况</w:t>
            </w:r>
          </w:p>
        </w:tc>
        <w:tc>
          <w:tcPr>
            <w:tcW w:w="3161" w:type="dxa"/>
            <w:gridSpan w:val="2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评价内容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评价分值（分）</w:t>
            </w:r>
          </w:p>
        </w:tc>
        <w:tc>
          <w:tcPr>
            <w:tcW w:w="2212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79" w:type="dxa"/>
            <w:vMerge w:val="restart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仅设玻璃幕墙</w:t>
            </w:r>
          </w:p>
        </w:tc>
        <w:tc>
          <w:tcPr>
            <w:tcW w:w="1580" w:type="dxa"/>
            <w:vMerge w:val="restart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玻璃幕墙透明部分可开启面积比例</w:t>
            </w:r>
          </w:p>
        </w:tc>
        <w:tc>
          <w:tcPr>
            <w:tcW w:w="1581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达到5%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2212" w:type="dxa"/>
            <w:vMerge w:val="restart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0" w:type="dxa"/>
            <w:vMerge w:val="continue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达到10%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2212" w:type="dxa"/>
            <w:vMerge w:val="continue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79" w:type="dxa"/>
            <w:vMerge w:val="restart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381" w:type="dxa"/>
            <w:vMerge w:val="restart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仅设外门窗</w:t>
            </w:r>
          </w:p>
        </w:tc>
        <w:tc>
          <w:tcPr>
            <w:tcW w:w="1580" w:type="dxa"/>
            <w:vMerge w:val="restart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外窗可开启面积比例</w:t>
            </w:r>
          </w:p>
        </w:tc>
        <w:tc>
          <w:tcPr>
            <w:tcW w:w="1581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达到30%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2212" w:type="dxa"/>
            <w:vMerge w:val="restart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0" w:type="dxa"/>
            <w:vMerge w:val="continue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达到35%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2212" w:type="dxa"/>
            <w:vMerge w:val="continue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381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设玻璃幕墙和外门窗</w:t>
            </w:r>
          </w:p>
        </w:tc>
        <w:tc>
          <w:tcPr>
            <w:tcW w:w="3161" w:type="dxa"/>
            <w:gridSpan w:val="2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按本表序号第1、2进行评价，得分取两项得分的平均值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</w:t>
            </w:r>
          </w:p>
        </w:tc>
        <w:tc>
          <w:tcPr>
            <w:tcW w:w="2212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1" w:type="dxa"/>
            <w:gridSpan w:val="4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合计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2212" w:type="dxa"/>
            <w:vAlign w:val="center"/>
          </w:tcPr>
          <w:p>
            <w:pPr>
              <w:pStyle w:val="13"/>
              <w:spacing w:line="288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</w:tr>
    </w:tbl>
    <w:p>
      <w:pPr>
        <w:pStyle w:val="13"/>
        <w:spacing w:line="288" w:lineRule="auto"/>
        <w:ind w:firstLine="0" w:firstLineChars="0"/>
        <w:jc w:val="left"/>
        <w:rPr>
          <w:rFonts w:ascii="宋体" w:hAnsi="宋体" w:cs="宋体"/>
          <w:szCs w:val="21"/>
        </w:rPr>
      </w:pPr>
    </w:p>
    <w:p>
      <w:pPr>
        <w:pStyle w:val="13"/>
        <w:spacing w:line="288" w:lineRule="auto"/>
        <w:ind w:firstLine="0" w:firstLineChars="0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2、评价要点</w:t>
      </w:r>
    </w:p>
    <w:p>
      <w:pPr>
        <w:pStyle w:val="14"/>
        <w:numPr>
          <w:ilvl w:val="0"/>
          <w:numId w:val="2"/>
        </w:numPr>
        <w:ind w:left="630" w:leftChars="100" w:hangingChars="200"/>
        <w:rPr>
          <w:rFonts w:ascii="宋体" w:hAnsi="宋体" w:cs="宋体"/>
          <w:b w:val="0"/>
          <w:szCs w:val="21"/>
        </w:rPr>
      </w:pPr>
      <w:r>
        <w:rPr>
          <w:rFonts w:hint="eastAsia" w:ascii="宋体" w:hAnsi="宋体" w:cs="宋体"/>
          <w:b w:val="0"/>
          <w:szCs w:val="21"/>
        </w:rPr>
        <w:t>外窗可开启面积比例：</w:t>
      </w:r>
    </w:p>
    <w:tbl>
      <w:tblPr>
        <w:tblStyle w:val="6"/>
        <w:tblW w:w="94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095"/>
        <w:gridCol w:w="1083"/>
        <w:gridCol w:w="938"/>
        <w:gridCol w:w="940"/>
        <w:gridCol w:w="1666"/>
        <w:gridCol w:w="1405"/>
        <w:gridCol w:w="15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建筑编号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外门窗编号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外门窗类型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外窗尺寸</w:t>
            </w: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数量（个）</w:t>
            </w:r>
          </w:p>
        </w:tc>
        <w:tc>
          <w:tcPr>
            <w:tcW w:w="14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可开启面积</w:t>
            </w:r>
          </w:p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（m</w:t>
            </w:r>
            <w:r>
              <w:rPr>
                <w:rFonts w:hint="eastAsia" w:ascii="宋体" w:hAnsi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可开启面积比例（%）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宽度（m）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高度（m）</w:t>
            </w: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DT</w:t>
            </w:r>
          </w:p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C0718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上悬窗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eastAsia"/>
              </w:rPr>
              <w:t>700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C0719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上悬窗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eastAsia"/>
              </w:rPr>
              <w:t>700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900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C0918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上悬窗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eastAsia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C1218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推拉窗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C1221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上悬窗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.10</w:t>
            </w:r>
            <w:r>
              <w:rPr>
                <w:rFonts w:hint="eastAsia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C1506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平开窗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eastAsia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C1516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推拉窗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C1518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推拉窗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C1519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推拉窗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900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C1521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.10</w:t>
            </w:r>
            <w:r>
              <w:rPr>
                <w:rFonts w:hint="eastAsia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C1818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C1819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推拉窗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900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C2118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推拉窗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2.100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推拉窗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C2421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.10</w:t>
            </w:r>
            <w:r>
              <w:rPr>
                <w:rFonts w:hint="eastAsia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C2518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C2721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推拉窗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700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.10</w:t>
            </w:r>
            <w:r>
              <w:rPr>
                <w:rFonts w:hint="eastAsia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C2821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.10</w:t>
            </w:r>
            <w:r>
              <w:rPr>
                <w:rFonts w:hint="eastAsia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C2918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C3021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.10</w:t>
            </w:r>
            <w:r>
              <w:rPr>
                <w:rFonts w:hint="eastAsia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M0826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平开门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eastAsia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M0921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平开门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eastAsia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.10</w:t>
            </w:r>
            <w:r>
              <w:rPr>
                <w:rFonts w:hint="eastAsia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M0926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平开门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eastAsia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26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平开门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2.1</w:t>
            </w:r>
            <w:r>
              <w:rPr>
                <w:rFonts w:hint="eastAsia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M1226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平开门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3.12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M1526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推拉门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M2026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平开门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M1526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平开门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M2726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推拉门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700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3.51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总计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47.13%</w:t>
            </w:r>
          </w:p>
        </w:tc>
      </w:tr>
    </w:tbl>
    <w:p>
      <w:pPr>
        <w:pStyle w:val="14"/>
        <w:ind w:left="-210" w:leftChars="-100" w:firstLine="420" w:firstLineChars="200"/>
        <w:rPr>
          <w:rFonts w:ascii="宋体" w:hAnsi="宋体" w:cs="宋体"/>
          <w:b w:val="0"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注：1、当建筑层数大于18层时，仅统计18层及以下的外窗。</w:t>
      </w:r>
    </w:p>
    <w:p>
      <w:pPr>
        <w:pStyle w:val="14"/>
        <w:ind w:left="0" w:firstLine="630" w:firstLineChars="300"/>
        <w:rPr>
          <w:rFonts w:ascii="宋体" w:hAnsi="宋体" w:cs="宋体"/>
          <w:b w:val="0"/>
          <w:szCs w:val="21"/>
        </w:rPr>
      </w:pPr>
      <w:r>
        <w:rPr>
          <w:rFonts w:hint="eastAsia" w:ascii="宋体" w:hAnsi="宋体" w:cs="宋体"/>
          <w:b w:val="0"/>
          <w:szCs w:val="21"/>
        </w:rPr>
        <w:t>2、有严格的室内温湿度要求、不宜进行自然通风的房间，其面积不计入。</w:t>
      </w:r>
    </w:p>
    <w:p>
      <w:pPr>
        <w:pStyle w:val="14"/>
        <w:ind w:left="0"/>
        <w:rPr>
          <w:rFonts w:ascii="宋体" w:hAnsi="宋体" w:cs="宋体"/>
          <w:b w:val="0"/>
          <w:szCs w:val="21"/>
        </w:rPr>
      </w:pPr>
    </w:p>
    <w:p>
      <w:pPr>
        <w:pStyle w:val="14"/>
        <w:numPr>
          <w:ilvl w:val="0"/>
          <w:numId w:val="2"/>
        </w:numPr>
        <w:ind w:left="630" w:leftChars="100" w:hangingChars="200"/>
        <w:rPr>
          <w:rFonts w:ascii="宋体" w:hAnsi="宋体" w:cs="宋体"/>
          <w:b w:val="0"/>
          <w:szCs w:val="21"/>
        </w:rPr>
      </w:pPr>
      <w:r>
        <w:rPr>
          <w:rFonts w:hint="eastAsia" w:ascii="宋体" w:hAnsi="宋体" w:cs="宋体"/>
          <w:b w:val="0"/>
          <w:szCs w:val="21"/>
        </w:rPr>
        <w:t>玻璃幕墙可开启面积比例：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49"/>
        <w:gridCol w:w="1150"/>
        <w:gridCol w:w="1179"/>
        <w:gridCol w:w="1181"/>
        <w:gridCol w:w="1050"/>
        <w:gridCol w:w="1051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建筑编号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幕墙编号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幕墙类型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幕墙尺寸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数量（个）</w:t>
            </w: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可开启面积</w:t>
            </w:r>
          </w:p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（m</w:t>
            </w:r>
            <w:r>
              <w:rPr>
                <w:rFonts w:hint="eastAsia" w:ascii="宋体" w:hAnsi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可开启面积比例（%）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宽度（m）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高度（m）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cantSplit/>
          <w:trHeight w:val="285" w:hRule="atLeast"/>
          <w:jc w:val="center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cantSplit/>
          <w:trHeight w:val="285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总计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cantSplit/>
          <w:trHeight w:val="285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总计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14"/>
        <w:ind w:left="-210" w:leftChars="-100" w:firstLine="420" w:firstLineChars="200"/>
        <w:rPr>
          <w:rFonts w:ascii="宋体" w:hAnsi="宋体" w:cs="宋体"/>
          <w:b w:val="0"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注：1、当建筑层数大于18层时，仅统计18层及以下的外窗。</w:t>
      </w:r>
    </w:p>
    <w:p>
      <w:pPr>
        <w:pStyle w:val="14"/>
        <w:ind w:left="0" w:firstLine="630" w:firstLineChars="300"/>
        <w:rPr>
          <w:rFonts w:ascii="宋体" w:hAnsi="宋体" w:cs="宋体"/>
          <w:b w:val="0"/>
          <w:szCs w:val="21"/>
        </w:rPr>
      </w:pPr>
      <w:r>
        <w:rPr>
          <w:rFonts w:hint="eastAsia" w:ascii="宋体" w:hAnsi="宋体" w:cs="宋体"/>
          <w:b w:val="0"/>
          <w:szCs w:val="21"/>
        </w:rPr>
        <w:t>2、有严格的室内温湿度要求、不宜进行自然通风的房间，其面积不计入。</w:t>
      </w:r>
    </w:p>
    <w:p>
      <w:pPr>
        <w:pStyle w:val="12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>
      <w:pPr>
        <w:pStyle w:val="13"/>
        <w:spacing w:line="288" w:lineRule="auto"/>
        <w:ind w:firstLine="0" w:firstLineChars="0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3、证明材料</w:t>
      </w:r>
    </w:p>
    <w:p>
      <w:pPr>
        <w:spacing w:before="156" w:beforeLines="50" w:after="156" w:afterLines="50" w:line="288" w:lineRule="auto"/>
        <w:ind w:left="36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建议提交材料及技术要求：</w:t>
      </w:r>
    </w:p>
    <w:tbl>
      <w:tblPr>
        <w:tblStyle w:val="6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70"/>
        <w:gridCol w:w="3759"/>
        <w:gridCol w:w="1410"/>
        <w:gridCol w:w="845"/>
        <w:gridCol w:w="814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shd w:val="clear" w:color="DBE5F1" w:fill="DBE5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专业分类</w:t>
            </w:r>
          </w:p>
        </w:tc>
        <w:tc>
          <w:tcPr>
            <w:tcW w:w="1170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材料名称</w:t>
            </w:r>
          </w:p>
        </w:tc>
        <w:tc>
          <w:tcPr>
            <w:tcW w:w="3759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技术要求</w:t>
            </w:r>
          </w:p>
        </w:tc>
        <w:tc>
          <w:tcPr>
            <w:tcW w:w="1410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评价要点</w:t>
            </w:r>
          </w:p>
        </w:tc>
        <w:tc>
          <w:tcPr>
            <w:tcW w:w="845" w:type="dxa"/>
            <w:shd w:val="clear" w:color="DBE5F1" w:fill="DBE5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评价阶段</w:t>
            </w:r>
          </w:p>
        </w:tc>
        <w:tc>
          <w:tcPr>
            <w:tcW w:w="814" w:type="dxa"/>
            <w:shd w:val="clear" w:color="DBE5F1" w:fill="DBE5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建筑类型</w:t>
            </w:r>
          </w:p>
        </w:tc>
        <w:tc>
          <w:tcPr>
            <w:tcW w:w="796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是否提交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7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建筑设计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建筑立面图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应体现外窗设置情况、详细尺寸说明并与详图吻合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外窗可开启面积比例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应体现幕墙设置情况、详细尺寸说明并与详图吻合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幕墙可开启面积比例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建筑门窗表及门窗详图</w:t>
            </w:r>
          </w:p>
        </w:tc>
        <w:tc>
          <w:tcPr>
            <w:tcW w:w="3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应体现幕墙设置情况、详细尺寸说明、开启方式，并与详图吻合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幕墙可开启面积比例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应体现外窗设置情况、详细尺寸说明、开启方式，并与详图吻合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外窗可开启面积比例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外窗/幕墙可开启面积比例计算书</w:t>
            </w:r>
          </w:p>
        </w:tc>
        <w:tc>
          <w:tcPr>
            <w:tcW w:w="37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应包括详细的外窗/幕墙的可开启面积比例（指标要求与自评一致）统计，并与图纸吻合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幕墙可开启面积比例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7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外窗可开启面积比例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建筑平面图 </w:t>
            </w:r>
          </w:p>
        </w:tc>
        <w:tc>
          <w:tcPr>
            <w:tcW w:w="3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应体现外窗设置情况、详细尺寸说明并与详图吻合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外窗可开启面积比例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应体现幕墙设置情况、详细尺寸说明并与详图吻合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幕墙可开启面积比例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建筑设计说明</w:t>
            </w:r>
          </w:p>
        </w:tc>
        <w:tc>
          <w:tcPr>
            <w:tcW w:w="3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应体现建筑层数，18层以上部分本条不参评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5.2.2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暖通设计说明</w:t>
            </w:r>
          </w:p>
        </w:tc>
        <w:tc>
          <w:tcPr>
            <w:tcW w:w="37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应体现建筑内部特殊的室内温湿度要求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5.2.2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 w:tentative="0">
      <w:start w:val="1"/>
      <w:numFmt w:val="bullet"/>
      <w:lvlText w:val=""/>
      <w:lvlJc w:val="left"/>
      <w:pPr>
        <w:ind w:left="4106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67"/>
    <w:rsid w:val="001A10DD"/>
    <w:rsid w:val="00546C8E"/>
    <w:rsid w:val="008A4897"/>
    <w:rsid w:val="00B46C65"/>
    <w:rsid w:val="00D94267"/>
    <w:rsid w:val="069B7A18"/>
    <w:rsid w:val="38AA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0"/>
    <w:qFormat/>
    <w:uiPriority w:val="0"/>
    <w:pPr>
      <w:snapToGrid w:val="0"/>
      <w:spacing w:before="0" w:after="0" w:line="240" w:lineRule="auto"/>
      <w:jc w:val="left"/>
      <w:outlineLvl w:val="2"/>
    </w:pPr>
    <w:rPr>
      <w:rFonts w:ascii="黑体" w:hAnsi="黑体" w:eastAsia="黑体" w:cs="Times New Roman"/>
      <w:b w:val="0"/>
      <w:bCs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3"/>
    <w:qFormat/>
    <w:uiPriority w:val="0"/>
    <w:rPr>
      <w:rFonts w:ascii="黑体" w:hAnsi="黑体" w:eastAsia="黑体" w:cs="Times New Roman"/>
      <w:sz w:val="24"/>
      <w:szCs w:val="32"/>
    </w:rPr>
  </w:style>
  <w:style w:type="character" w:customStyle="1" w:styleId="11">
    <w:name w:val="条文 Char"/>
    <w:link w:val="12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2">
    <w:name w:val="条文"/>
    <w:basedOn w:val="1"/>
    <w:link w:val="11"/>
    <w:qFormat/>
    <w:uiPriority w:val="0"/>
    <w:pPr>
      <w:spacing w:line="300" w:lineRule="auto"/>
      <w:outlineLvl w:val="2"/>
    </w:pPr>
    <w:rPr>
      <w:sz w:val="24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paragraph" w:customStyle="1" w:styleId="14">
    <w:name w:val="技术要点"/>
    <w:basedOn w:val="13"/>
    <w:qFormat/>
    <w:uiPriority w:val="0"/>
    <w:pPr>
      <w:spacing w:line="288" w:lineRule="auto"/>
      <w:ind w:left="790" w:firstLine="0" w:firstLineChars="0"/>
    </w:pPr>
    <w:rPr>
      <w:b/>
    </w:rPr>
  </w:style>
  <w:style w:type="character" w:customStyle="1" w:styleId="15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197</Words>
  <Characters>1124</Characters>
  <Lines>9</Lines>
  <Paragraphs>2</Paragraphs>
  <TotalTime>0</TotalTime>
  <ScaleCrop>false</ScaleCrop>
  <LinksUpToDate>false</LinksUpToDate>
  <CharactersWithSpaces>1319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2018-07-04T08:16:00Z</dcterms:created>
  <dc:creator>jinj</dc:creator>
  <cp:lastModifiedBy>沐羽颜</cp:lastModifiedBy>
  <dcterms:modified xsi:type="dcterms:W3CDTF">2022-03-05T05:20:43Z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4D49A11130C6497FA11D7AB6D913E22A</vt:lpwstr>
  </property>
</Properties>
</file>