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rPr>
          <w:rFonts w:ascii="黑体" w:hAnsi="黑体" w:eastAsia="黑体" w:cs="黑体"/>
          <w:sz w:val="24"/>
        </w:rPr>
      </w:pPr>
      <w:r>
        <w:rPr>
          <w:rFonts w:hint="eastAsia" w:ascii="黑体" w:hAnsi="黑体" w:eastAsia="黑体" w:cs="黑体"/>
          <w:sz w:val="24"/>
        </w:rPr>
        <w:t>7.2.12 采用可再利用和可再循环建筑材料。（评价总分值10分）</w:t>
      </w:r>
    </w:p>
    <w:p>
      <w:pPr>
        <w:spacing w:line="288" w:lineRule="auto"/>
        <w:rPr>
          <w:rFonts w:ascii="宋体" w:hAnsi="宋体" w:cs="宋体"/>
          <w:kern w:val="0"/>
          <w:szCs w:val="21"/>
        </w:rPr>
      </w:pPr>
    </w:p>
    <w:p>
      <w:pPr>
        <w:spacing w:line="288" w:lineRule="auto"/>
        <w:rPr>
          <w:rFonts w:ascii="宋体" w:hAnsi="宋体" w:cs="宋体"/>
          <w:b/>
          <w:bCs/>
          <w:kern w:val="0"/>
          <w:szCs w:val="21"/>
        </w:rPr>
      </w:pPr>
      <w:r>
        <w:rPr>
          <w:rFonts w:hint="eastAsia" w:ascii="宋体" w:hAnsi="宋体" w:cs="宋体"/>
          <w:b/>
          <w:bCs/>
          <w:kern w:val="0"/>
          <w:szCs w:val="21"/>
        </w:rPr>
        <w:t>参评情况</w:t>
      </w:r>
    </w:p>
    <w:p>
      <w:pPr>
        <w:spacing w:line="288" w:lineRule="auto"/>
        <w:rPr>
          <w:rFonts w:ascii="宋体" w:hAnsi="宋体" w:cs="宋体"/>
          <w:kern w:val="0"/>
          <w:szCs w:val="21"/>
        </w:rPr>
      </w:pPr>
      <w:r>
        <w:rPr>
          <w:rFonts w:hint="eastAsia" w:ascii="宋体" w:hAnsi="宋体" w:cs="宋体"/>
          <w:kern w:val="0"/>
          <w:szCs w:val="21"/>
        </w:rPr>
        <w:sym w:font="Wingdings 2" w:char="0052"/>
      </w:r>
      <w:r>
        <w:rPr>
          <w:rFonts w:hint="eastAsia" w:ascii="宋体" w:hAnsi="宋体" w:cs="宋体"/>
          <w:kern w:val="0"/>
          <w:szCs w:val="21"/>
        </w:rPr>
        <w:t>参评□不参评，原因（）</w:t>
      </w:r>
    </w:p>
    <w:p>
      <w:pPr>
        <w:spacing w:line="288" w:lineRule="auto"/>
        <w:rPr>
          <w:rFonts w:ascii="宋体" w:hAnsi="宋体" w:cs="宋体"/>
          <w:kern w:val="0"/>
          <w:szCs w:val="21"/>
        </w:rPr>
      </w:pPr>
    </w:p>
    <w:p>
      <w:pPr>
        <w:numPr>
          <w:ilvl w:val="0"/>
          <w:numId w:val="1"/>
        </w:numPr>
        <w:spacing w:line="288" w:lineRule="auto"/>
        <w:rPr>
          <w:rFonts w:ascii="宋体" w:hAnsi="宋体" w:cs="宋体"/>
          <w:b/>
          <w:szCs w:val="21"/>
          <w:lang w:val="zh-CN"/>
        </w:rPr>
      </w:pPr>
      <w:r>
        <w:rPr>
          <w:rFonts w:hint="eastAsia" w:ascii="宋体" w:hAnsi="宋体" w:cs="宋体"/>
          <w:b/>
          <w:szCs w:val="21"/>
          <w:lang w:val="zh-CN"/>
        </w:rPr>
        <w:t>得分自评</w:t>
      </w:r>
    </w:p>
    <w:p>
      <w:pPr>
        <w:spacing w:line="288" w:lineRule="auto"/>
        <w:rPr>
          <w:rFonts w:ascii="宋体" w:hAnsi="宋体" w:cs="宋体"/>
          <w:b/>
          <w:bCs/>
          <w:szCs w:val="21"/>
        </w:rPr>
      </w:pPr>
      <w:r>
        <w:rPr>
          <w:rFonts w:hint="eastAsia" w:ascii="宋体" w:hAnsi="宋体" w:cs="宋体"/>
          <w:b/>
          <w:bCs/>
          <w:szCs w:val="21"/>
        </w:rPr>
        <w:t>□住宅建筑</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2"/>
        <w:gridCol w:w="2653"/>
        <w:gridCol w:w="2206"/>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5305" w:type="dxa"/>
            <w:gridSpan w:val="2"/>
            <w:vAlign w:val="center"/>
          </w:tcPr>
          <w:p>
            <w:pPr>
              <w:spacing w:line="288" w:lineRule="auto"/>
              <w:jc w:val="center"/>
              <w:rPr>
                <w:rFonts w:ascii="宋体" w:hAnsi="宋体" w:cs="宋体"/>
                <w:szCs w:val="21"/>
              </w:rPr>
            </w:pPr>
            <w:r>
              <w:rPr>
                <w:rFonts w:hint="eastAsia" w:ascii="宋体" w:hAnsi="宋体" w:cs="宋体"/>
                <w:szCs w:val="21"/>
              </w:rPr>
              <w:t>评价内容</w:t>
            </w:r>
          </w:p>
        </w:tc>
        <w:tc>
          <w:tcPr>
            <w:tcW w:w="2206" w:type="dxa"/>
            <w:vAlign w:val="center"/>
          </w:tcPr>
          <w:p>
            <w:pPr>
              <w:spacing w:line="288" w:lineRule="auto"/>
              <w:jc w:val="center"/>
              <w:rPr>
                <w:rFonts w:ascii="宋体" w:hAnsi="宋体" w:cs="宋体"/>
                <w:szCs w:val="21"/>
              </w:rPr>
            </w:pPr>
            <w:r>
              <w:rPr>
                <w:rFonts w:hint="eastAsia" w:ascii="宋体" w:hAnsi="宋体" w:cs="宋体"/>
                <w:szCs w:val="21"/>
              </w:rPr>
              <w:t>评价分值（分）</w:t>
            </w:r>
          </w:p>
        </w:tc>
        <w:tc>
          <w:tcPr>
            <w:tcW w:w="2003" w:type="dxa"/>
            <w:vAlign w:val="center"/>
          </w:tcPr>
          <w:p>
            <w:pPr>
              <w:spacing w:line="288" w:lineRule="auto"/>
              <w:jc w:val="center"/>
              <w:rPr>
                <w:rFonts w:ascii="宋体" w:hAnsi="宋体" w:cs="宋体"/>
                <w:szCs w:val="21"/>
              </w:rPr>
            </w:pPr>
            <w:r>
              <w:rPr>
                <w:rFonts w:hint="eastAsia" w:ascii="宋体" w:hAnsi="宋体" w:cs="宋体"/>
                <w:szCs w:val="21"/>
              </w:rPr>
              <w:t>自评得分（分）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2" w:type="dxa"/>
            <w:vMerge w:val="restart"/>
            <w:vAlign w:val="center"/>
          </w:tcPr>
          <w:p>
            <w:pPr>
              <w:spacing w:line="288" w:lineRule="auto"/>
              <w:jc w:val="center"/>
              <w:rPr>
                <w:rFonts w:ascii="宋体" w:hAnsi="宋体" w:cs="宋体"/>
                <w:szCs w:val="21"/>
              </w:rPr>
            </w:pPr>
            <w:r>
              <w:rPr>
                <w:rFonts w:hint="eastAsia" w:ascii="宋体" w:hAnsi="宋体" w:cs="宋体"/>
                <w:szCs w:val="21"/>
              </w:rPr>
              <w:t>可再利用材料和可再循环材料用量比例</w:t>
            </w:r>
          </w:p>
        </w:tc>
        <w:tc>
          <w:tcPr>
            <w:tcW w:w="2653" w:type="dxa"/>
            <w:vAlign w:val="center"/>
          </w:tcPr>
          <w:p>
            <w:pPr>
              <w:spacing w:line="288" w:lineRule="auto"/>
              <w:jc w:val="center"/>
              <w:rPr>
                <w:rFonts w:ascii="宋体" w:hAnsi="宋体" w:cs="宋体"/>
                <w:szCs w:val="21"/>
              </w:rPr>
            </w:pPr>
            <w:r>
              <w:rPr>
                <w:rFonts w:hint="eastAsia" w:ascii="宋体" w:hAnsi="宋体" w:cs="宋体"/>
                <w:szCs w:val="21"/>
              </w:rPr>
              <w:t>达到6%</w:t>
            </w:r>
          </w:p>
        </w:tc>
        <w:tc>
          <w:tcPr>
            <w:tcW w:w="2206" w:type="dxa"/>
            <w:vAlign w:val="center"/>
          </w:tcPr>
          <w:p>
            <w:pPr>
              <w:spacing w:line="288" w:lineRule="auto"/>
              <w:jc w:val="center"/>
              <w:rPr>
                <w:rFonts w:ascii="宋体" w:hAnsi="宋体" w:cs="宋体"/>
                <w:szCs w:val="21"/>
              </w:rPr>
            </w:pPr>
            <w:r>
              <w:rPr>
                <w:rFonts w:hint="eastAsia" w:ascii="宋体" w:hAnsi="宋体" w:cs="宋体"/>
                <w:szCs w:val="21"/>
              </w:rPr>
              <w:t>8</w:t>
            </w:r>
          </w:p>
        </w:tc>
        <w:tc>
          <w:tcPr>
            <w:tcW w:w="2003" w:type="dxa"/>
            <w:vMerge w:val="restart"/>
            <w:vAlign w:val="center"/>
          </w:tcPr>
          <w:p>
            <w:pPr>
              <w:spacing w:line="288"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2" w:type="dxa"/>
            <w:vMerge w:val="continue"/>
            <w:vAlign w:val="center"/>
          </w:tcPr>
          <w:p>
            <w:pPr>
              <w:spacing w:line="288" w:lineRule="auto"/>
              <w:jc w:val="center"/>
              <w:rPr>
                <w:rFonts w:ascii="宋体" w:hAnsi="宋体" w:cs="宋体"/>
                <w:szCs w:val="21"/>
              </w:rPr>
            </w:pPr>
          </w:p>
        </w:tc>
        <w:tc>
          <w:tcPr>
            <w:tcW w:w="2653" w:type="dxa"/>
            <w:vAlign w:val="center"/>
          </w:tcPr>
          <w:p>
            <w:pPr>
              <w:spacing w:line="288" w:lineRule="auto"/>
              <w:jc w:val="center"/>
              <w:rPr>
                <w:rFonts w:ascii="宋体" w:hAnsi="宋体" w:cs="宋体"/>
                <w:szCs w:val="21"/>
              </w:rPr>
            </w:pPr>
            <w:r>
              <w:rPr>
                <w:rFonts w:hint="eastAsia" w:ascii="宋体" w:hAnsi="宋体" w:cs="宋体"/>
                <w:szCs w:val="21"/>
              </w:rPr>
              <w:t>达到10%</w:t>
            </w:r>
          </w:p>
        </w:tc>
        <w:tc>
          <w:tcPr>
            <w:tcW w:w="2206" w:type="dxa"/>
            <w:vAlign w:val="center"/>
          </w:tcPr>
          <w:p>
            <w:pPr>
              <w:spacing w:line="288" w:lineRule="auto"/>
              <w:jc w:val="center"/>
              <w:rPr>
                <w:rFonts w:ascii="宋体" w:hAnsi="宋体" w:cs="宋体"/>
                <w:szCs w:val="21"/>
              </w:rPr>
            </w:pPr>
            <w:r>
              <w:rPr>
                <w:rFonts w:hint="eastAsia" w:ascii="宋体" w:hAnsi="宋体" w:cs="宋体"/>
                <w:szCs w:val="21"/>
              </w:rPr>
              <w:t>10</w:t>
            </w:r>
          </w:p>
        </w:tc>
        <w:tc>
          <w:tcPr>
            <w:tcW w:w="2003" w:type="dxa"/>
            <w:vMerge w:val="continue"/>
            <w:vAlign w:val="center"/>
          </w:tcPr>
          <w:p>
            <w:pPr>
              <w:spacing w:line="288" w:lineRule="auto"/>
              <w:jc w:val="center"/>
              <w:rPr>
                <w:rFonts w:ascii="宋体" w:hAnsi="宋体" w:cs="宋体"/>
                <w:szCs w:val="21"/>
              </w:rPr>
            </w:pPr>
          </w:p>
        </w:tc>
      </w:tr>
    </w:tbl>
    <w:p>
      <w:pPr>
        <w:spacing w:line="288" w:lineRule="auto"/>
        <w:rPr>
          <w:rFonts w:ascii="宋体" w:hAnsi="宋体" w:cs="宋体"/>
          <w:b/>
          <w:bCs/>
          <w:szCs w:val="21"/>
        </w:rPr>
      </w:pPr>
      <w:r>
        <w:rPr>
          <w:rFonts w:hint="eastAsia" w:ascii="宋体" w:hAnsi="宋体" w:cs="宋体"/>
          <w:b/>
          <w:bCs/>
          <w:szCs w:val="21"/>
        </w:rPr>
        <w:sym w:font="Wingdings 2" w:char="0052"/>
      </w:r>
      <w:r>
        <w:rPr>
          <w:rFonts w:hint="eastAsia" w:ascii="宋体" w:hAnsi="宋体" w:cs="宋体"/>
          <w:b/>
          <w:bCs/>
          <w:szCs w:val="21"/>
        </w:rPr>
        <w:t>公共建筑</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2"/>
        <w:gridCol w:w="2653"/>
        <w:gridCol w:w="2206"/>
        <w:gridCol w:w="2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5305" w:type="dxa"/>
            <w:gridSpan w:val="2"/>
            <w:vAlign w:val="center"/>
          </w:tcPr>
          <w:p>
            <w:pPr>
              <w:spacing w:line="288" w:lineRule="auto"/>
              <w:jc w:val="center"/>
              <w:rPr>
                <w:rFonts w:ascii="宋体" w:hAnsi="宋体" w:cs="宋体"/>
                <w:szCs w:val="21"/>
              </w:rPr>
            </w:pPr>
            <w:r>
              <w:rPr>
                <w:rFonts w:hint="eastAsia" w:ascii="宋体" w:hAnsi="宋体" w:cs="宋体"/>
                <w:szCs w:val="21"/>
              </w:rPr>
              <w:t>评价内容</w:t>
            </w:r>
          </w:p>
        </w:tc>
        <w:tc>
          <w:tcPr>
            <w:tcW w:w="2206" w:type="dxa"/>
            <w:vAlign w:val="center"/>
          </w:tcPr>
          <w:p>
            <w:pPr>
              <w:spacing w:line="288" w:lineRule="auto"/>
              <w:jc w:val="center"/>
              <w:rPr>
                <w:rFonts w:ascii="宋体" w:hAnsi="宋体" w:cs="宋体"/>
                <w:szCs w:val="21"/>
              </w:rPr>
            </w:pPr>
            <w:r>
              <w:rPr>
                <w:rFonts w:hint="eastAsia" w:ascii="宋体" w:hAnsi="宋体" w:cs="宋体"/>
                <w:szCs w:val="21"/>
              </w:rPr>
              <w:t>评价分值（分）</w:t>
            </w:r>
          </w:p>
        </w:tc>
        <w:tc>
          <w:tcPr>
            <w:tcW w:w="2003" w:type="dxa"/>
            <w:vAlign w:val="center"/>
          </w:tcPr>
          <w:p>
            <w:pPr>
              <w:spacing w:line="288" w:lineRule="auto"/>
              <w:jc w:val="center"/>
              <w:rPr>
                <w:rFonts w:ascii="宋体" w:hAnsi="宋体" w:cs="宋体"/>
                <w:szCs w:val="21"/>
              </w:rPr>
            </w:pPr>
            <w:r>
              <w:rPr>
                <w:rFonts w:hint="eastAsia" w:ascii="宋体" w:hAnsi="宋体" w:cs="宋体"/>
                <w:szCs w:val="21"/>
              </w:rPr>
              <w:t>自评得分（分）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2" w:type="dxa"/>
            <w:vMerge w:val="restart"/>
            <w:vAlign w:val="center"/>
          </w:tcPr>
          <w:p>
            <w:pPr>
              <w:spacing w:line="288" w:lineRule="auto"/>
              <w:rPr>
                <w:rFonts w:ascii="宋体" w:hAnsi="宋体" w:cs="宋体"/>
                <w:szCs w:val="21"/>
              </w:rPr>
            </w:pPr>
            <w:r>
              <w:rPr>
                <w:rFonts w:hint="eastAsia" w:ascii="宋体" w:hAnsi="宋体" w:cs="宋体"/>
                <w:szCs w:val="21"/>
              </w:rPr>
              <w:t>可再利用材料和可再循环材料用量比例</w:t>
            </w:r>
          </w:p>
        </w:tc>
        <w:tc>
          <w:tcPr>
            <w:tcW w:w="2653" w:type="dxa"/>
            <w:vAlign w:val="center"/>
          </w:tcPr>
          <w:p>
            <w:pPr>
              <w:spacing w:line="288" w:lineRule="auto"/>
              <w:jc w:val="center"/>
              <w:rPr>
                <w:rFonts w:ascii="宋体" w:hAnsi="宋体" w:cs="宋体"/>
                <w:szCs w:val="21"/>
              </w:rPr>
            </w:pPr>
            <w:r>
              <w:rPr>
                <w:rFonts w:hint="eastAsia" w:ascii="宋体" w:hAnsi="宋体" w:cs="宋体"/>
                <w:szCs w:val="21"/>
              </w:rPr>
              <w:t>达到10%</w:t>
            </w:r>
          </w:p>
        </w:tc>
        <w:tc>
          <w:tcPr>
            <w:tcW w:w="2206" w:type="dxa"/>
            <w:vAlign w:val="center"/>
          </w:tcPr>
          <w:p>
            <w:pPr>
              <w:spacing w:line="288" w:lineRule="auto"/>
              <w:jc w:val="center"/>
              <w:rPr>
                <w:rFonts w:ascii="宋体" w:hAnsi="宋体" w:cs="宋体"/>
                <w:szCs w:val="21"/>
              </w:rPr>
            </w:pPr>
            <w:r>
              <w:rPr>
                <w:rFonts w:hint="eastAsia" w:ascii="宋体" w:hAnsi="宋体" w:cs="宋体"/>
                <w:szCs w:val="21"/>
              </w:rPr>
              <w:t>8</w:t>
            </w:r>
          </w:p>
        </w:tc>
        <w:tc>
          <w:tcPr>
            <w:tcW w:w="2003" w:type="dxa"/>
            <w:vMerge w:val="restart"/>
            <w:vAlign w:val="center"/>
          </w:tcPr>
          <w:p>
            <w:pPr>
              <w:spacing w:line="288" w:lineRule="auto"/>
              <w:jc w:val="center"/>
              <w:rPr>
                <w:rFonts w:hint="default" w:ascii="宋体" w:hAnsi="宋体" w:eastAsia="宋体" w:cs="宋体"/>
                <w:szCs w:val="21"/>
                <w:lang w:val="en-US" w:eastAsia="zh-CN"/>
              </w:rPr>
            </w:pPr>
            <w:r>
              <w:rPr>
                <w:rFonts w:hint="eastAsia" w:ascii="宋体" w:hAnsi="宋体" w:cs="宋体"/>
                <w:szCs w:val="21"/>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52" w:type="dxa"/>
            <w:vMerge w:val="continue"/>
            <w:vAlign w:val="center"/>
          </w:tcPr>
          <w:p>
            <w:pPr>
              <w:spacing w:line="288" w:lineRule="auto"/>
              <w:jc w:val="center"/>
              <w:rPr>
                <w:rFonts w:ascii="宋体" w:hAnsi="宋体" w:cs="宋体"/>
                <w:szCs w:val="21"/>
              </w:rPr>
            </w:pPr>
          </w:p>
        </w:tc>
        <w:tc>
          <w:tcPr>
            <w:tcW w:w="2653" w:type="dxa"/>
            <w:vAlign w:val="center"/>
          </w:tcPr>
          <w:p>
            <w:pPr>
              <w:spacing w:line="288" w:lineRule="auto"/>
              <w:jc w:val="center"/>
              <w:rPr>
                <w:rFonts w:ascii="宋体" w:hAnsi="宋体" w:cs="宋体"/>
                <w:szCs w:val="21"/>
              </w:rPr>
            </w:pPr>
            <w:r>
              <w:rPr>
                <w:rFonts w:hint="eastAsia" w:ascii="宋体" w:hAnsi="宋体" w:cs="宋体"/>
                <w:szCs w:val="21"/>
              </w:rPr>
              <w:t>达到15%</w:t>
            </w:r>
          </w:p>
        </w:tc>
        <w:tc>
          <w:tcPr>
            <w:tcW w:w="2206" w:type="dxa"/>
            <w:vAlign w:val="center"/>
          </w:tcPr>
          <w:p>
            <w:pPr>
              <w:spacing w:line="288" w:lineRule="auto"/>
              <w:jc w:val="center"/>
              <w:rPr>
                <w:rFonts w:ascii="宋体" w:hAnsi="宋体" w:cs="宋体"/>
                <w:szCs w:val="21"/>
              </w:rPr>
            </w:pPr>
            <w:r>
              <w:rPr>
                <w:rFonts w:hint="eastAsia" w:ascii="宋体" w:hAnsi="宋体" w:cs="宋体"/>
                <w:szCs w:val="21"/>
              </w:rPr>
              <w:t>10</w:t>
            </w:r>
          </w:p>
        </w:tc>
        <w:tc>
          <w:tcPr>
            <w:tcW w:w="2003" w:type="dxa"/>
            <w:vMerge w:val="continue"/>
            <w:vAlign w:val="center"/>
          </w:tcPr>
          <w:p>
            <w:pPr>
              <w:spacing w:line="288" w:lineRule="auto"/>
              <w:jc w:val="center"/>
              <w:rPr>
                <w:rFonts w:ascii="宋体" w:hAnsi="宋体" w:cs="宋体"/>
                <w:szCs w:val="21"/>
              </w:rPr>
            </w:pPr>
          </w:p>
        </w:tc>
      </w:tr>
    </w:tbl>
    <w:p>
      <w:pPr>
        <w:spacing w:line="288" w:lineRule="auto"/>
        <w:rPr>
          <w:rFonts w:ascii="宋体" w:hAnsi="宋体" w:cs="宋体"/>
          <w:bCs/>
          <w:szCs w:val="21"/>
          <w:lang w:val="zh-CN"/>
        </w:rPr>
      </w:pPr>
    </w:p>
    <w:p>
      <w:pPr>
        <w:spacing w:line="288" w:lineRule="auto"/>
        <w:rPr>
          <w:rFonts w:ascii="宋体" w:hAnsi="宋体" w:cs="宋体"/>
          <w:b/>
          <w:szCs w:val="21"/>
          <w:lang w:val="zh-CN"/>
        </w:rPr>
      </w:pPr>
      <w:r>
        <w:rPr>
          <w:rFonts w:hint="eastAsia" w:ascii="宋体" w:hAnsi="宋体" w:cs="宋体"/>
          <w:b/>
          <w:szCs w:val="21"/>
        </w:rPr>
        <w:t>2、</w:t>
      </w:r>
      <w:r>
        <w:rPr>
          <w:rFonts w:hint="eastAsia" w:ascii="宋体" w:hAnsi="宋体" w:cs="宋体"/>
          <w:b/>
          <w:szCs w:val="21"/>
          <w:lang w:val="zh-CN"/>
        </w:rPr>
        <w:t>评价要点</w:t>
      </w:r>
    </w:p>
    <w:p>
      <w:pPr>
        <w:pStyle w:val="8"/>
        <w:numPr>
          <w:ilvl w:val="0"/>
          <w:numId w:val="2"/>
        </w:numPr>
        <w:spacing w:line="288" w:lineRule="auto"/>
        <w:ind w:left="420" w:firstLineChars="0"/>
        <w:rPr>
          <w:rFonts w:ascii="宋体" w:hAnsi="宋体" w:cs="宋体"/>
          <w:szCs w:val="21"/>
          <w:lang w:val="zh-CN"/>
        </w:rPr>
      </w:pPr>
      <w:r>
        <w:rPr>
          <w:rFonts w:hint="eastAsia" w:ascii="宋体" w:hAnsi="宋体" w:cs="宋体"/>
          <w:szCs w:val="21"/>
          <w:lang w:val="zh-CN"/>
        </w:rPr>
        <w:t>可再利用材料和可再循环材料使用情况：</w:t>
      </w:r>
    </w:p>
    <w:p>
      <w:pPr>
        <w:spacing w:line="288" w:lineRule="auto"/>
        <w:rPr>
          <w:rFonts w:ascii="宋体" w:hAnsi="宋体" w:cs="宋体"/>
          <w:szCs w:val="21"/>
        </w:rPr>
      </w:pPr>
      <w:r>
        <w:rPr>
          <w:rFonts w:hint="eastAsia" w:ascii="宋体" w:hAnsi="宋体" w:cs="宋体"/>
          <w:szCs w:val="21"/>
        </w:rPr>
        <w:t>建筑可再利用和可再循环材料使用重量：t；本项目所有建筑材料总重量：t；</w:t>
      </w:r>
    </w:p>
    <w:p>
      <w:pPr>
        <w:spacing w:line="288" w:lineRule="auto"/>
        <w:rPr>
          <w:rFonts w:ascii="宋体" w:hAnsi="宋体" w:cs="宋体"/>
          <w:szCs w:val="21"/>
        </w:rPr>
      </w:pPr>
      <w:r>
        <w:rPr>
          <w:rFonts w:hint="eastAsia" w:ascii="宋体" w:hAnsi="宋体" w:cs="宋体"/>
          <w:szCs w:val="21"/>
        </w:rPr>
        <w:t>可再利用材料和可再循环材料使用重量占所有建筑材料总重量的比例： %。</w:t>
      </w:r>
    </w:p>
    <w:p>
      <w:pPr>
        <w:pStyle w:val="8"/>
        <w:numPr>
          <w:ilvl w:val="0"/>
          <w:numId w:val="3"/>
        </w:numPr>
        <w:spacing w:line="288" w:lineRule="auto"/>
        <w:ind w:firstLineChars="0"/>
        <w:rPr>
          <w:rFonts w:ascii="宋体" w:hAnsi="宋体" w:cs="宋体"/>
          <w:bCs/>
          <w:szCs w:val="21"/>
          <w:lang w:val="zh-CN"/>
        </w:rPr>
      </w:pPr>
      <w:r>
        <w:rPr>
          <w:rFonts w:hint="eastAsia" w:ascii="宋体" w:hAnsi="宋体" w:cs="宋体"/>
          <w:bCs/>
          <w:szCs w:val="21"/>
          <w:lang w:val="zh-CN"/>
        </w:rPr>
        <w:t>项目档案信息表与证书关键指标</w:t>
      </w:r>
    </w:p>
    <w:p>
      <w:pPr>
        <w:spacing w:line="288" w:lineRule="auto"/>
        <w:rPr>
          <w:rFonts w:ascii="宋体" w:hAnsi="宋体" w:cs="宋体"/>
          <w:szCs w:val="21"/>
        </w:rPr>
      </w:pPr>
      <w:r>
        <w:rPr>
          <w:rFonts w:hint="eastAsia" w:ascii="宋体" w:hAnsi="宋体" w:cs="宋体"/>
          <w:szCs w:val="21"/>
        </w:rPr>
        <w:t>建筑材料总重量：t，可再利用可再循环材料重量：t</w:t>
      </w:r>
    </w:p>
    <w:p>
      <w:pPr>
        <w:spacing w:line="288" w:lineRule="auto"/>
        <w:rPr>
          <w:rFonts w:ascii="宋体" w:hAnsi="宋体" w:cs="宋体"/>
          <w:szCs w:val="21"/>
        </w:rPr>
      </w:pPr>
      <w:r>
        <w:rPr>
          <w:rFonts w:hint="eastAsia" w:ascii="宋体" w:hAnsi="宋体" w:cs="宋体"/>
          <w:szCs w:val="21"/>
        </w:rPr>
        <w:t>可再利用可再循环材料用量比：%</w:t>
      </w:r>
    </w:p>
    <w:p>
      <w:pPr>
        <w:spacing w:line="288" w:lineRule="auto"/>
        <w:rPr>
          <w:rFonts w:ascii="宋体" w:hAnsi="宋体" w:cs="宋体"/>
          <w:szCs w:val="21"/>
        </w:rPr>
      </w:pPr>
      <w:r>
        <w:rPr>
          <w:rFonts w:hint="eastAsia" w:ascii="宋体" w:hAnsi="宋体" w:cs="宋体"/>
          <w:szCs w:val="21"/>
        </w:rPr>
        <w:t>设计可再利用可再循环材料用量比（运行标识填写）：%</w:t>
      </w:r>
    </w:p>
    <w:p>
      <w:pPr>
        <w:spacing w:line="288" w:lineRule="auto"/>
        <w:rPr>
          <w:rFonts w:ascii="宋体" w:hAnsi="宋体" w:cs="宋体"/>
          <w:b/>
          <w:bCs/>
          <w:szCs w:val="21"/>
        </w:rPr>
      </w:pPr>
    </w:p>
    <w:p>
      <w:pPr>
        <w:spacing w:line="288" w:lineRule="auto"/>
        <w:rPr>
          <w:rFonts w:ascii="宋体" w:hAnsi="宋体" w:cs="宋体"/>
          <w:b/>
          <w:bCs/>
          <w:szCs w:val="21"/>
          <w:lang w:val="zh-CN"/>
        </w:rPr>
      </w:pPr>
      <w:r>
        <w:rPr>
          <w:rFonts w:hint="eastAsia" w:ascii="宋体" w:hAnsi="宋体" w:cs="宋体"/>
          <w:b/>
          <w:bCs/>
          <w:szCs w:val="21"/>
        </w:rPr>
        <w:t>3、</w:t>
      </w:r>
      <w:r>
        <w:rPr>
          <w:rFonts w:hint="eastAsia" w:ascii="宋体" w:hAnsi="宋体" w:cs="宋体"/>
          <w:b/>
          <w:bCs/>
          <w:szCs w:val="21"/>
          <w:lang w:val="zh-CN"/>
        </w:rPr>
        <w:t>证明材料</w:t>
      </w:r>
    </w:p>
    <w:p>
      <w:pPr>
        <w:spacing w:before="156" w:beforeLines="50" w:after="156" w:afterLines="50" w:line="288" w:lineRule="auto"/>
        <w:rPr>
          <w:rFonts w:ascii="宋体" w:hAnsi="宋体" w:cs="宋体"/>
          <w:szCs w:val="21"/>
        </w:rPr>
      </w:pPr>
      <w:r>
        <w:rPr>
          <w:rFonts w:hint="eastAsia" w:ascii="宋体" w:hAnsi="宋体" w:cs="宋体"/>
          <w:szCs w:val="21"/>
        </w:rPr>
        <w:t>建议提交材料及技术要求：</w:t>
      </w:r>
    </w:p>
    <w:tbl>
      <w:tblPr>
        <w:tblStyle w:val="4"/>
        <w:tblW w:w="0" w:type="auto"/>
        <w:tblInd w:w="93"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21"/>
        <w:gridCol w:w="1171"/>
        <w:gridCol w:w="4476"/>
        <w:gridCol w:w="892"/>
        <w:gridCol w:w="802"/>
        <w:gridCol w:w="773"/>
        <w:gridCol w:w="78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721" w:type="dxa"/>
            <w:shd w:val="clear" w:color="DBE5F1" w:fill="DBE5F1"/>
            <w:vAlign w:val="center"/>
          </w:tcPr>
          <w:p>
            <w:pPr>
              <w:widowControl/>
              <w:jc w:val="left"/>
              <w:rPr>
                <w:rFonts w:ascii="宋体" w:hAnsi="宋体" w:cs="宋体"/>
                <w:bCs/>
                <w:kern w:val="0"/>
                <w:szCs w:val="21"/>
              </w:rPr>
            </w:pPr>
            <w:r>
              <w:rPr>
                <w:rFonts w:hint="eastAsia" w:ascii="宋体" w:hAnsi="宋体" w:cs="宋体"/>
                <w:bCs/>
                <w:kern w:val="0"/>
                <w:szCs w:val="21"/>
              </w:rPr>
              <w:t>专业分类</w:t>
            </w:r>
          </w:p>
        </w:tc>
        <w:tc>
          <w:tcPr>
            <w:tcW w:w="1171" w:type="dxa"/>
            <w:shd w:val="clear" w:color="DBE5F1" w:fill="DBE5F1"/>
            <w:vAlign w:val="center"/>
          </w:tcPr>
          <w:p>
            <w:pPr>
              <w:widowControl/>
              <w:jc w:val="center"/>
              <w:rPr>
                <w:rFonts w:ascii="宋体" w:hAnsi="宋体" w:cs="宋体"/>
                <w:bCs/>
                <w:kern w:val="0"/>
                <w:szCs w:val="21"/>
              </w:rPr>
            </w:pPr>
            <w:r>
              <w:rPr>
                <w:rFonts w:hint="eastAsia" w:ascii="宋体" w:hAnsi="宋体" w:cs="宋体"/>
                <w:bCs/>
                <w:kern w:val="0"/>
                <w:szCs w:val="21"/>
              </w:rPr>
              <w:t>材料名称</w:t>
            </w:r>
          </w:p>
        </w:tc>
        <w:tc>
          <w:tcPr>
            <w:tcW w:w="4476" w:type="dxa"/>
            <w:shd w:val="clear" w:color="DBE5F1" w:fill="DBE5F1"/>
            <w:vAlign w:val="center"/>
          </w:tcPr>
          <w:p>
            <w:pPr>
              <w:widowControl/>
              <w:jc w:val="center"/>
              <w:rPr>
                <w:rFonts w:ascii="宋体" w:hAnsi="宋体" w:cs="宋体"/>
                <w:bCs/>
                <w:kern w:val="0"/>
                <w:szCs w:val="21"/>
              </w:rPr>
            </w:pPr>
            <w:r>
              <w:rPr>
                <w:rFonts w:hint="eastAsia" w:ascii="宋体" w:hAnsi="宋体" w:cs="宋体"/>
                <w:bCs/>
                <w:kern w:val="0"/>
                <w:szCs w:val="21"/>
              </w:rPr>
              <w:t>技术要求</w:t>
            </w:r>
          </w:p>
        </w:tc>
        <w:tc>
          <w:tcPr>
            <w:tcW w:w="892" w:type="dxa"/>
            <w:shd w:val="clear" w:color="DBE5F1" w:fill="DBE5F1"/>
            <w:vAlign w:val="center"/>
          </w:tcPr>
          <w:p>
            <w:pPr>
              <w:widowControl/>
              <w:jc w:val="center"/>
              <w:rPr>
                <w:rFonts w:hint="eastAsia" w:ascii="宋体" w:hAnsi="宋体" w:cs="宋体"/>
                <w:bCs/>
                <w:kern w:val="0"/>
                <w:szCs w:val="21"/>
              </w:rPr>
            </w:pPr>
            <w:r>
              <w:rPr>
                <w:rFonts w:hint="eastAsia" w:ascii="宋体" w:hAnsi="宋体" w:cs="宋体"/>
                <w:bCs/>
                <w:kern w:val="0"/>
                <w:szCs w:val="21"/>
              </w:rPr>
              <w:t>评价</w:t>
            </w:r>
          </w:p>
          <w:p>
            <w:pPr>
              <w:widowControl/>
              <w:jc w:val="center"/>
              <w:rPr>
                <w:rFonts w:ascii="宋体" w:hAnsi="宋体" w:cs="宋体"/>
                <w:bCs/>
                <w:kern w:val="0"/>
                <w:szCs w:val="21"/>
              </w:rPr>
            </w:pPr>
            <w:r>
              <w:rPr>
                <w:rFonts w:hint="eastAsia" w:ascii="宋体" w:hAnsi="宋体" w:cs="宋体"/>
                <w:bCs/>
                <w:kern w:val="0"/>
                <w:szCs w:val="21"/>
              </w:rPr>
              <w:t>要点</w:t>
            </w:r>
          </w:p>
        </w:tc>
        <w:tc>
          <w:tcPr>
            <w:tcW w:w="802" w:type="dxa"/>
            <w:shd w:val="clear" w:color="DBE5F1" w:fill="DBE5F1"/>
            <w:vAlign w:val="center"/>
          </w:tcPr>
          <w:p>
            <w:pPr>
              <w:widowControl/>
              <w:jc w:val="center"/>
              <w:rPr>
                <w:rFonts w:ascii="宋体" w:hAnsi="宋体" w:cs="宋体"/>
                <w:bCs/>
                <w:kern w:val="0"/>
                <w:szCs w:val="21"/>
              </w:rPr>
            </w:pPr>
            <w:r>
              <w:rPr>
                <w:rFonts w:hint="eastAsia" w:ascii="宋体" w:hAnsi="宋体" w:cs="宋体"/>
                <w:bCs/>
                <w:kern w:val="0"/>
                <w:szCs w:val="21"/>
              </w:rPr>
              <w:t>评价阶段</w:t>
            </w:r>
          </w:p>
        </w:tc>
        <w:tc>
          <w:tcPr>
            <w:tcW w:w="773" w:type="dxa"/>
            <w:shd w:val="clear" w:color="DBE5F1" w:fill="DBE5F1"/>
            <w:vAlign w:val="center"/>
          </w:tcPr>
          <w:p>
            <w:pPr>
              <w:widowControl/>
              <w:jc w:val="left"/>
              <w:rPr>
                <w:rFonts w:ascii="宋体" w:hAnsi="宋体" w:cs="宋体"/>
                <w:bCs/>
                <w:kern w:val="0"/>
                <w:szCs w:val="21"/>
              </w:rPr>
            </w:pPr>
            <w:r>
              <w:rPr>
                <w:rFonts w:hint="eastAsia" w:ascii="宋体" w:hAnsi="宋体" w:cs="宋体"/>
                <w:bCs/>
                <w:kern w:val="0"/>
                <w:szCs w:val="21"/>
              </w:rPr>
              <w:t>建筑类型</w:t>
            </w:r>
          </w:p>
        </w:tc>
        <w:tc>
          <w:tcPr>
            <w:tcW w:w="789" w:type="dxa"/>
            <w:shd w:val="clear" w:color="DBE5F1" w:fill="DBE5F1"/>
            <w:vAlign w:val="center"/>
          </w:tcPr>
          <w:p>
            <w:pPr>
              <w:widowControl/>
              <w:jc w:val="left"/>
              <w:rPr>
                <w:rFonts w:ascii="宋体" w:hAnsi="宋体" w:cs="宋体"/>
                <w:bCs/>
                <w:kern w:val="0"/>
                <w:szCs w:val="21"/>
              </w:rPr>
            </w:pPr>
            <w:r>
              <w:rPr>
                <w:rFonts w:hint="eastAsia" w:ascii="宋体" w:hAnsi="宋体" w:cs="宋体"/>
                <w:bCs/>
                <w:kern w:val="0"/>
                <w:szCs w:val="21"/>
              </w:rPr>
              <w:t>是否提交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1" w:type="dxa"/>
            <w:vMerge w:val="restart"/>
            <w:tcBorders>
              <w:top w:val="single" w:color="auto" w:sz="4" w:space="0"/>
              <w:left w:val="single" w:color="auto" w:sz="4"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其他材料</w:t>
            </w:r>
          </w:p>
        </w:tc>
        <w:tc>
          <w:tcPr>
            <w:tcW w:w="1171" w:type="dxa"/>
            <w:tcBorders>
              <w:top w:val="single" w:color="auto" w:sz="4" w:space="0"/>
              <w:left w:val="single" w:color="auto" w:sz="6" w:space="0"/>
              <w:bottom w:val="single" w:color="auto" w:sz="6"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可再利用和可再循环材料使用比例计算书</w:t>
            </w:r>
          </w:p>
        </w:tc>
        <w:tc>
          <w:tcPr>
            <w:tcW w:w="4476" w:type="dxa"/>
            <w:tcBorders>
              <w:top w:val="single" w:color="auto" w:sz="4" w:space="0"/>
              <w:left w:val="single" w:color="auto" w:sz="6" w:space="0"/>
              <w:bottom w:val="single" w:color="auto" w:sz="6" w:space="0"/>
              <w:right w:val="single" w:color="auto" w:sz="6" w:space="0"/>
            </w:tcBorders>
            <w:vAlign w:val="center"/>
          </w:tcPr>
          <w:p>
            <w:pPr>
              <w:widowControl/>
              <w:jc w:val="left"/>
              <w:rPr>
                <w:rFonts w:ascii="宋体" w:hAnsi="宋体" w:cs="宋体"/>
                <w:kern w:val="0"/>
                <w:szCs w:val="21"/>
              </w:rPr>
            </w:pPr>
            <w:r>
              <w:rPr>
                <w:rFonts w:hint="eastAsia" w:ascii="宋体" w:hAnsi="宋体" w:cs="宋体"/>
                <w:kern w:val="0"/>
                <w:szCs w:val="21"/>
              </w:rPr>
              <w:t>应体现项目采用的可再利用和可再循环材料的种类、使用部位、用量及使用比例（指标要求与自评一致）</w:t>
            </w:r>
          </w:p>
        </w:tc>
        <w:tc>
          <w:tcPr>
            <w:tcW w:w="892" w:type="dxa"/>
            <w:tcBorders>
              <w:top w:val="single" w:color="auto" w:sz="4" w:space="0"/>
              <w:left w:val="single" w:color="auto" w:sz="6" w:space="0"/>
              <w:bottom w:val="single" w:color="auto" w:sz="6"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可循环利用材料</w:t>
            </w:r>
          </w:p>
        </w:tc>
        <w:tc>
          <w:tcPr>
            <w:tcW w:w="802" w:type="dxa"/>
            <w:tcBorders>
              <w:top w:val="single" w:color="auto" w:sz="4" w:space="0"/>
              <w:left w:val="single" w:color="auto" w:sz="6" w:space="0"/>
              <w:bottom w:val="single" w:color="auto" w:sz="6" w:space="0"/>
              <w:right w:val="single" w:color="auto" w:sz="6" w:space="0"/>
            </w:tcBorders>
            <w:vAlign w:val="center"/>
          </w:tcPr>
          <w:p>
            <w:pPr>
              <w:widowControl/>
              <w:jc w:val="left"/>
              <w:rPr>
                <w:rFonts w:ascii="宋体" w:hAnsi="宋体" w:cs="宋体"/>
                <w:kern w:val="0"/>
                <w:szCs w:val="21"/>
              </w:rPr>
            </w:pPr>
            <w:r>
              <w:rPr>
                <w:rFonts w:hint="eastAsia" w:ascii="宋体" w:hAnsi="宋体" w:cs="宋体"/>
                <w:kern w:val="0"/>
                <w:szCs w:val="21"/>
              </w:rPr>
              <w:t>设计/运行</w:t>
            </w:r>
          </w:p>
        </w:tc>
        <w:tc>
          <w:tcPr>
            <w:tcW w:w="773" w:type="dxa"/>
            <w:tcBorders>
              <w:top w:val="single" w:color="auto" w:sz="4" w:space="0"/>
              <w:left w:val="single" w:color="auto" w:sz="6" w:space="0"/>
              <w:bottom w:val="single" w:color="auto" w:sz="6"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居建/公建</w:t>
            </w:r>
          </w:p>
        </w:tc>
        <w:tc>
          <w:tcPr>
            <w:tcW w:w="789" w:type="dxa"/>
            <w:tcBorders>
              <w:top w:val="single" w:color="auto" w:sz="4" w:space="0"/>
              <w:left w:val="single" w:color="auto" w:sz="6" w:space="0"/>
              <w:bottom w:val="single" w:color="auto" w:sz="6" w:space="0"/>
              <w:right w:val="single" w:color="auto" w:sz="4" w:space="0"/>
            </w:tcBorders>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70" w:hRule="atLeast"/>
        </w:trPr>
        <w:tc>
          <w:tcPr>
            <w:tcW w:w="721" w:type="dxa"/>
            <w:vMerge w:val="continue"/>
            <w:tcBorders>
              <w:left w:val="single" w:color="auto" w:sz="4" w:space="0"/>
              <w:bottom w:val="single" w:color="auto" w:sz="4" w:space="0"/>
              <w:right w:val="single" w:color="auto" w:sz="6" w:space="0"/>
            </w:tcBorders>
            <w:vAlign w:val="center"/>
          </w:tcPr>
          <w:p>
            <w:pPr>
              <w:widowControl/>
              <w:jc w:val="left"/>
              <w:rPr>
                <w:rFonts w:ascii="宋体" w:hAnsi="宋体" w:cs="宋体"/>
                <w:bCs/>
                <w:kern w:val="0"/>
                <w:szCs w:val="21"/>
              </w:rPr>
            </w:pPr>
          </w:p>
        </w:tc>
        <w:tc>
          <w:tcPr>
            <w:tcW w:w="1171" w:type="dxa"/>
            <w:tcBorders>
              <w:top w:val="single" w:color="auto" w:sz="6" w:space="0"/>
              <w:left w:val="single" w:color="auto" w:sz="6" w:space="0"/>
              <w:bottom w:val="single" w:color="auto" w:sz="4"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建筑工程造价预算/决算清单</w:t>
            </w:r>
          </w:p>
        </w:tc>
        <w:tc>
          <w:tcPr>
            <w:tcW w:w="4476" w:type="dxa"/>
            <w:tcBorders>
              <w:top w:val="single" w:color="auto" w:sz="6" w:space="0"/>
              <w:left w:val="single" w:color="auto" w:sz="6" w:space="0"/>
              <w:bottom w:val="single" w:color="auto" w:sz="4" w:space="0"/>
              <w:right w:val="single" w:color="auto" w:sz="6" w:space="0"/>
            </w:tcBorders>
            <w:vAlign w:val="center"/>
          </w:tcPr>
          <w:p>
            <w:pPr>
              <w:widowControl/>
              <w:jc w:val="left"/>
              <w:rPr>
                <w:rFonts w:ascii="宋体" w:hAnsi="宋体" w:cs="宋体"/>
                <w:kern w:val="0"/>
                <w:szCs w:val="21"/>
              </w:rPr>
            </w:pPr>
            <w:r>
              <w:rPr>
                <w:rFonts w:hint="eastAsia" w:ascii="宋体" w:hAnsi="宋体" w:cs="宋体"/>
                <w:kern w:val="0"/>
                <w:szCs w:val="21"/>
              </w:rPr>
              <w:t>应体现项目选用的全部材料种类、名称，使用部位、用量等信息，应与土建及装修设计图纸对应</w:t>
            </w:r>
          </w:p>
        </w:tc>
        <w:tc>
          <w:tcPr>
            <w:tcW w:w="892" w:type="dxa"/>
            <w:tcBorders>
              <w:top w:val="single" w:color="auto" w:sz="6" w:space="0"/>
              <w:left w:val="single" w:color="auto" w:sz="6" w:space="0"/>
              <w:bottom w:val="single" w:color="auto" w:sz="4" w:space="0"/>
              <w:right w:val="single" w:color="auto" w:sz="6" w:space="0"/>
            </w:tcBorders>
            <w:vAlign w:val="center"/>
          </w:tcPr>
          <w:p>
            <w:pPr>
              <w:widowControl/>
              <w:jc w:val="left"/>
              <w:rPr>
                <w:rFonts w:ascii="宋体" w:hAnsi="宋体" w:cs="宋体"/>
                <w:bCs/>
                <w:kern w:val="0"/>
                <w:szCs w:val="21"/>
              </w:rPr>
            </w:pPr>
            <w:r>
              <w:rPr>
                <w:rFonts w:hint="eastAsia" w:ascii="宋体" w:hAnsi="宋体" w:cs="宋体"/>
                <w:bCs/>
                <w:kern w:val="0"/>
                <w:szCs w:val="21"/>
              </w:rPr>
              <w:t>可循环利用材料</w:t>
            </w:r>
          </w:p>
        </w:tc>
        <w:tc>
          <w:tcPr>
            <w:tcW w:w="802" w:type="dxa"/>
            <w:tcBorders>
              <w:top w:val="single" w:color="auto" w:sz="6" w:space="0"/>
              <w:left w:val="single" w:color="auto" w:sz="6" w:space="0"/>
              <w:bottom w:val="single" w:color="auto" w:sz="4" w:space="0"/>
              <w:right w:val="single" w:color="auto" w:sz="6" w:space="0"/>
            </w:tcBorders>
            <w:vAlign w:val="center"/>
          </w:tcPr>
          <w:p>
            <w:pPr>
              <w:widowControl/>
              <w:jc w:val="left"/>
              <w:rPr>
                <w:rFonts w:ascii="宋体" w:hAnsi="宋体" w:cs="宋体"/>
                <w:kern w:val="0"/>
                <w:szCs w:val="21"/>
              </w:rPr>
            </w:pPr>
            <w:r>
              <w:rPr>
                <w:rFonts w:hint="eastAsia" w:ascii="宋体" w:hAnsi="宋体" w:cs="宋体"/>
                <w:kern w:val="0"/>
                <w:szCs w:val="21"/>
              </w:rPr>
              <w:t>设计/运行</w:t>
            </w:r>
          </w:p>
        </w:tc>
        <w:tc>
          <w:tcPr>
            <w:tcW w:w="773" w:type="dxa"/>
            <w:tcBorders>
              <w:top w:val="single" w:color="auto" w:sz="6" w:space="0"/>
              <w:left w:val="single" w:color="auto" w:sz="6" w:space="0"/>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居建/公建</w:t>
            </w:r>
          </w:p>
        </w:tc>
        <w:tc>
          <w:tcPr>
            <w:tcW w:w="789" w:type="dxa"/>
            <w:tcBorders>
              <w:top w:val="single" w:color="auto" w:sz="6" w:space="0"/>
              <w:left w:val="single" w:color="auto" w:sz="6" w:space="0"/>
              <w:bottom w:val="single" w:color="auto" w:sz="4" w:space="0"/>
              <w:right w:val="single" w:color="auto" w:sz="4" w:space="0"/>
            </w:tcBorders>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lang w:eastAsia="zh-CN"/>
              </w:rPr>
              <w:t>否</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3F"/>
    <w:multiLevelType w:val="multilevel"/>
    <w:tmpl w:val="0000003F"/>
    <w:lvl w:ilvl="0" w:tentative="0">
      <w:start w:val="1"/>
      <w:numFmt w:val="decimal"/>
      <w:lvlText w:val="%1、"/>
      <w:lvlJc w:val="left"/>
      <w:pPr>
        <w:tabs>
          <w:tab w:val="left" w:pos="420"/>
        </w:tabs>
        <w:ind w:left="420" w:hanging="420"/>
      </w:pPr>
      <w:rPr>
        <w:rFonts w:hint="eastAsia"/>
        <w:b/>
        <w:bC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6A"/>
    <w:multiLevelType w:val="multilevel"/>
    <w:tmpl w:val="0000006A"/>
    <w:lvl w:ilvl="0" w:tentative="0">
      <w:start w:val="1"/>
      <w:numFmt w:val="bullet"/>
      <w:lvlText w:val=""/>
      <w:lvlJc w:val="left"/>
      <w:pPr>
        <w:ind w:left="4106" w:hanging="420"/>
      </w:pPr>
      <w:rPr>
        <w:rFonts w:hint="default" w:ascii="Wingdings" w:hAnsi="Wingdings"/>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72"/>
    <w:multiLevelType w:val="singleLevel"/>
    <w:tmpl w:val="00000072"/>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1C4"/>
    <w:rsid w:val="003661C4"/>
    <w:rsid w:val="00394CE8"/>
    <w:rsid w:val="00635A47"/>
    <w:rsid w:val="009A01E7"/>
    <w:rsid w:val="30D61F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qFormat/>
    <w:uiPriority w:val="99"/>
    <w:rPr>
      <w:sz w:val="18"/>
      <w:szCs w:val="18"/>
    </w:rPr>
  </w:style>
  <w:style w:type="paragraph" w:customStyle="1" w:styleId="8">
    <w:name w:val="列出段落1"/>
    <w:basedOn w:val="1"/>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90</Words>
  <Characters>516</Characters>
  <Lines>4</Lines>
  <Paragraphs>1</Paragraphs>
  <TotalTime>0</TotalTime>
  <ScaleCrop>false</ScaleCrop>
  <LinksUpToDate>false</LinksUpToDate>
  <CharactersWithSpaces>605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2018-07-04T08:19:00Z</dcterms:created>
  <dc:creator>Administrator</dc:creator>
  <cp:lastModifiedBy>沐羽颜</cp:lastModifiedBy>
  <dcterms:modified xsi:type="dcterms:W3CDTF">2022-03-09T14:42:08Z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18209863CE4B4B539FE4772FF5A4BFC9</vt:lpwstr>
  </property>
</Properties>
</file>