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pageBreakBefore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8.2.3采取减少噪声干扰的措施。（评价总分值6分）</w:t>
      </w:r>
    </w:p>
    <w:p>
      <w:pPr>
        <w:spacing w:line="288" w:lineRule="auto"/>
        <w:rPr>
          <w:rFonts w:ascii="宋体" w:hAnsi="宋体" w:cs="宋体"/>
          <w:kern w:val="0"/>
          <w:szCs w:val="21"/>
        </w:rPr>
      </w:pPr>
    </w:p>
    <w:p>
      <w:pPr>
        <w:spacing w:line="288" w:lineRule="auto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参评情况</w:t>
      </w:r>
    </w:p>
    <w:p>
      <w:pPr>
        <w:spacing w:line="288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sym w:font="Wingdings 2" w:char="0052"/>
      </w:r>
      <w:r>
        <w:rPr>
          <w:rFonts w:hint="eastAsia" w:ascii="宋体" w:hAnsi="宋体" w:cs="宋体"/>
          <w:kern w:val="0"/>
          <w:szCs w:val="21"/>
        </w:rPr>
        <w:t>参评□不参评，原因（□项目为居住建筑和旅馆建筑之外的其他类型建筑时本条第2款不参评、□其他）</w:t>
      </w:r>
    </w:p>
    <w:p>
      <w:pPr>
        <w:spacing w:line="288" w:lineRule="auto"/>
        <w:rPr>
          <w:rFonts w:ascii="宋体" w:hAnsi="宋体" w:cs="宋体"/>
          <w:kern w:val="0"/>
          <w:szCs w:val="21"/>
        </w:rPr>
      </w:pPr>
      <w:bookmarkStart w:id="0" w:name="_GoBack"/>
      <w:bookmarkEnd w:id="0"/>
    </w:p>
    <w:p>
      <w:pPr>
        <w:numPr>
          <w:ilvl w:val="0"/>
          <w:numId w:val="1"/>
        </w:numPr>
        <w:spacing w:line="288" w:lineRule="auto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得分自评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5925"/>
        <w:gridCol w:w="1290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831" w:type="dxa"/>
            <w:vAlign w:val="center"/>
          </w:tcPr>
          <w:p>
            <w:pPr>
              <w:pStyle w:val="9"/>
              <w:spacing w:line="288" w:lineRule="auto"/>
              <w:jc w:val="center"/>
              <w:outlineLvl w:val="9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序号</w:t>
            </w:r>
          </w:p>
        </w:tc>
        <w:tc>
          <w:tcPr>
            <w:tcW w:w="5925" w:type="dxa"/>
            <w:vAlign w:val="center"/>
          </w:tcPr>
          <w:p>
            <w:pPr>
              <w:pStyle w:val="9"/>
              <w:spacing w:line="288" w:lineRule="auto"/>
              <w:jc w:val="center"/>
              <w:outlineLvl w:val="9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评价内容</w:t>
            </w:r>
          </w:p>
        </w:tc>
        <w:tc>
          <w:tcPr>
            <w:tcW w:w="1290" w:type="dxa"/>
            <w:vAlign w:val="center"/>
          </w:tcPr>
          <w:p>
            <w:pPr>
              <w:pStyle w:val="9"/>
              <w:spacing w:line="288" w:lineRule="auto"/>
              <w:jc w:val="center"/>
              <w:outlineLvl w:val="9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评价分值（分）</w:t>
            </w:r>
          </w:p>
        </w:tc>
        <w:tc>
          <w:tcPr>
            <w:tcW w:w="1408" w:type="dxa"/>
            <w:vAlign w:val="center"/>
          </w:tcPr>
          <w:p>
            <w:pPr>
              <w:pStyle w:val="9"/>
              <w:spacing w:line="288" w:lineRule="auto"/>
              <w:jc w:val="center"/>
              <w:outlineLvl w:val="9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自评得分（分）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  <w:vAlign w:val="center"/>
          </w:tcPr>
          <w:p>
            <w:pPr>
              <w:pStyle w:val="9"/>
              <w:spacing w:line="288" w:lineRule="auto"/>
              <w:jc w:val="center"/>
              <w:outlineLvl w:val="9"/>
              <w:rPr>
                <w:rFonts w:ascii="宋体" w:hAnsi="宋体" w:cs="宋体"/>
                <w:bCs/>
                <w:i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sz w:val="21"/>
                <w:szCs w:val="21"/>
              </w:rPr>
              <w:t>1</w:t>
            </w:r>
          </w:p>
        </w:tc>
        <w:tc>
          <w:tcPr>
            <w:tcW w:w="5925" w:type="dxa"/>
            <w:vAlign w:val="center"/>
          </w:tcPr>
          <w:p>
            <w:pPr>
              <w:pStyle w:val="9"/>
              <w:spacing w:line="288" w:lineRule="auto"/>
              <w:jc w:val="center"/>
              <w:outlineLvl w:val="9"/>
              <w:rPr>
                <w:rFonts w:ascii="宋体" w:hAnsi="宋体" w:cs="宋体"/>
                <w:bCs/>
                <w:i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sz w:val="21"/>
                <w:szCs w:val="21"/>
              </w:rPr>
              <w:t>建筑平面、空间布局合理，没有明显的噪声干扰</w:t>
            </w:r>
          </w:p>
        </w:tc>
        <w:tc>
          <w:tcPr>
            <w:tcW w:w="1290" w:type="dxa"/>
            <w:vAlign w:val="center"/>
          </w:tcPr>
          <w:p>
            <w:pPr>
              <w:pStyle w:val="9"/>
              <w:spacing w:line="288" w:lineRule="auto"/>
              <w:jc w:val="center"/>
              <w:outlineLvl w:val="9"/>
              <w:rPr>
                <w:rFonts w:ascii="宋体" w:hAnsi="宋体" w:cs="宋体"/>
                <w:bCs/>
                <w:i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sz w:val="21"/>
                <w:szCs w:val="21"/>
              </w:rPr>
              <w:t>2</w:t>
            </w:r>
          </w:p>
        </w:tc>
        <w:tc>
          <w:tcPr>
            <w:tcW w:w="1408" w:type="dxa"/>
            <w:vAlign w:val="center"/>
          </w:tcPr>
          <w:p>
            <w:pPr>
              <w:pStyle w:val="9"/>
              <w:spacing w:line="288" w:lineRule="auto"/>
              <w:jc w:val="center"/>
              <w:outlineLvl w:val="9"/>
              <w:rPr>
                <w:rFonts w:hint="eastAsia" w:ascii="宋体" w:hAnsi="宋体" w:eastAsia="宋体" w:cs="宋体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  <w:vAlign w:val="center"/>
          </w:tcPr>
          <w:p>
            <w:pPr>
              <w:pStyle w:val="9"/>
              <w:spacing w:line="288" w:lineRule="auto"/>
              <w:jc w:val="center"/>
              <w:outlineLvl w:val="9"/>
              <w:rPr>
                <w:rFonts w:ascii="宋体" w:hAnsi="宋体" w:cs="宋体"/>
                <w:bCs/>
                <w:i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sz w:val="21"/>
                <w:szCs w:val="21"/>
              </w:rPr>
              <w:t>2</w:t>
            </w:r>
          </w:p>
        </w:tc>
        <w:tc>
          <w:tcPr>
            <w:tcW w:w="5925" w:type="dxa"/>
            <w:vAlign w:val="center"/>
          </w:tcPr>
          <w:p>
            <w:pPr>
              <w:pStyle w:val="9"/>
              <w:spacing w:line="288" w:lineRule="auto"/>
              <w:jc w:val="center"/>
              <w:outlineLvl w:val="9"/>
              <w:rPr>
                <w:rFonts w:ascii="宋体" w:hAnsi="宋体" w:cs="宋体"/>
                <w:bCs/>
                <w:i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sz w:val="21"/>
                <w:szCs w:val="21"/>
              </w:rPr>
              <w:t>对引起传声的管道、设备等物体进行减振、隔声处理</w:t>
            </w:r>
          </w:p>
        </w:tc>
        <w:tc>
          <w:tcPr>
            <w:tcW w:w="1290" w:type="dxa"/>
            <w:vAlign w:val="center"/>
          </w:tcPr>
          <w:p>
            <w:pPr>
              <w:pStyle w:val="9"/>
              <w:spacing w:line="288" w:lineRule="auto"/>
              <w:jc w:val="center"/>
              <w:outlineLvl w:val="9"/>
              <w:rPr>
                <w:rFonts w:ascii="宋体" w:hAnsi="宋体" w:cs="宋体"/>
                <w:bCs/>
                <w:i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sz w:val="21"/>
                <w:szCs w:val="21"/>
              </w:rPr>
              <w:t>2</w:t>
            </w:r>
          </w:p>
        </w:tc>
        <w:tc>
          <w:tcPr>
            <w:tcW w:w="1408" w:type="dxa"/>
            <w:vAlign w:val="center"/>
          </w:tcPr>
          <w:p>
            <w:pPr>
              <w:pStyle w:val="9"/>
              <w:spacing w:line="288" w:lineRule="auto"/>
              <w:jc w:val="center"/>
              <w:outlineLvl w:val="9"/>
              <w:rPr>
                <w:rFonts w:hint="eastAsia" w:ascii="宋体" w:hAnsi="宋体" w:eastAsia="宋体" w:cs="宋体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  <w:vAlign w:val="center"/>
          </w:tcPr>
          <w:p>
            <w:pPr>
              <w:pStyle w:val="9"/>
              <w:spacing w:line="288" w:lineRule="auto"/>
              <w:jc w:val="center"/>
              <w:outlineLvl w:val="9"/>
              <w:rPr>
                <w:rFonts w:ascii="宋体" w:hAnsi="宋体" w:cs="宋体"/>
                <w:bCs/>
                <w:i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sz w:val="21"/>
                <w:szCs w:val="21"/>
              </w:rPr>
              <w:t>3</w:t>
            </w:r>
          </w:p>
        </w:tc>
        <w:tc>
          <w:tcPr>
            <w:tcW w:w="5925" w:type="dxa"/>
            <w:vAlign w:val="center"/>
          </w:tcPr>
          <w:p>
            <w:pPr>
              <w:pStyle w:val="9"/>
              <w:spacing w:line="288" w:lineRule="auto"/>
              <w:jc w:val="center"/>
              <w:outlineLvl w:val="9"/>
              <w:rPr>
                <w:rFonts w:ascii="宋体" w:hAnsi="宋体" w:cs="宋体"/>
                <w:bCs/>
                <w:i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sz w:val="21"/>
                <w:szCs w:val="21"/>
              </w:rPr>
              <w:t>对水、暖、电、燃气、通风和空调等管线安装和孔洞处理进行有效的隔声处理</w:t>
            </w:r>
          </w:p>
        </w:tc>
        <w:tc>
          <w:tcPr>
            <w:tcW w:w="1290" w:type="dxa"/>
            <w:vAlign w:val="center"/>
          </w:tcPr>
          <w:p>
            <w:pPr>
              <w:pStyle w:val="9"/>
              <w:spacing w:line="288" w:lineRule="auto"/>
              <w:jc w:val="center"/>
              <w:outlineLvl w:val="9"/>
              <w:rPr>
                <w:rFonts w:ascii="宋体" w:hAnsi="宋体" w:cs="宋体"/>
                <w:bCs/>
                <w:i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sz w:val="21"/>
                <w:szCs w:val="21"/>
              </w:rPr>
              <w:t>2</w:t>
            </w:r>
          </w:p>
        </w:tc>
        <w:tc>
          <w:tcPr>
            <w:tcW w:w="1408" w:type="dxa"/>
            <w:vAlign w:val="center"/>
          </w:tcPr>
          <w:p>
            <w:pPr>
              <w:pStyle w:val="9"/>
              <w:spacing w:line="288" w:lineRule="auto"/>
              <w:jc w:val="center"/>
              <w:outlineLvl w:val="9"/>
              <w:rPr>
                <w:rFonts w:hint="eastAsia" w:ascii="宋体" w:hAnsi="宋体" w:eastAsia="宋体" w:cs="宋体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  <w:vAlign w:val="center"/>
          </w:tcPr>
          <w:p>
            <w:pPr>
              <w:pStyle w:val="9"/>
              <w:spacing w:line="288" w:lineRule="auto"/>
              <w:jc w:val="center"/>
              <w:outlineLvl w:val="9"/>
              <w:rPr>
                <w:rFonts w:ascii="宋体" w:hAnsi="宋体" w:cs="宋体"/>
                <w:bCs/>
                <w:iCs/>
                <w:sz w:val="21"/>
                <w:szCs w:val="21"/>
              </w:rPr>
            </w:pPr>
          </w:p>
        </w:tc>
        <w:tc>
          <w:tcPr>
            <w:tcW w:w="5925" w:type="dxa"/>
            <w:vAlign w:val="center"/>
          </w:tcPr>
          <w:p>
            <w:pPr>
              <w:pStyle w:val="9"/>
              <w:spacing w:line="288" w:lineRule="auto"/>
              <w:jc w:val="center"/>
              <w:outlineLvl w:val="9"/>
              <w:rPr>
                <w:rFonts w:ascii="宋体" w:hAnsi="宋体" w:cs="宋体"/>
                <w:bCs/>
                <w:i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sz w:val="21"/>
                <w:szCs w:val="21"/>
              </w:rPr>
              <w:t>合计</w:t>
            </w:r>
          </w:p>
        </w:tc>
        <w:tc>
          <w:tcPr>
            <w:tcW w:w="1290" w:type="dxa"/>
            <w:vAlign w:val="center"/>
          </w:tcPr>
          <w:p>
            <w:pPr>
              <w:pStyle w:val="9"/>
              <w:spacing w:line="288" w:lineRule="auto"/>
              <w:jc w:val="center"/>
              <w:outlineLvl w:val="9"/>
              <w:rPr>
                <w:rFonts w:ascii="宋体" w:hAnsi="宋体" w:cs="宋体"/>
                <w:bCs/>
                <w:i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sz w:val="21"/>
                <w:szCs w:val="21"/>
              </w:rPr>
              <w:t>6</w:t>
            </w:r>
          </w:p>
        </w:tc>
        <w:tc>
          <w:tcPr>
            <w:tcW w:w="1408" w:type="dxa"/>
            <w:vAlign w:val="center"/>
          </w:tcPr>
          <w:p>
            <w:pPr>
              <w:pStyle w:val="9"/>
              <w:spacing w:line="288" w:lineRule="auto"/>
              <w:jc w:val="center"/>
              <w:outlineLvl w:val="9"/>
              <w:rPr>
                <w:rFonts w:hint="eastAsia" w:ascii="宋体" w:hAnsi="宋体" w:eastAsia="宋体" w:cs="宋体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sz w:val="21"/>
                <w:szCs w:val="21"/>
                <w:lang w:val="en-US" w:eastAsia="zh-CN"/>
              </w:rPr>
              <w:t>6</w:t>
            </w:r>
          </w:p>
        </w:tc>
      </w:tr>
    </w:tbl>
    <w:p>
      <w:pPr>
        <w:spacing w:line="288" w:lineRule="auto"/>
        <w:rPr>
          <w:rFonts w:ascii="宋体" w:hAnsi="宋体" w:cs="宋体"/>
          <w:kern w:val="0"/>
          <w:szCs w:val="21"/>
        </w:rPr>
      </w:pPr>
    </w:p>
    <w:p>
      <w:pPr>
        <w:numPr>
          <w:ilvl w:val="0"/>
          <w:numId w:val="1"/>
        </w:numPr>
        <w:spacing w:line="288" w:lineRule="auto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评价要点</w:t>
      </w:r>
    </w:p>
    <w:p>
      <w:pPr>
        <w:pStyle w:val="10"/>
        <w:numPr>
          <w:ilvl w:val="0"/>
          <w:numId w:val="2"/>
        </w:numPr>
        <w:spacing w:line="288" w:lineRule="auto"/>
        <w:ind w:left="630" w:leftChars="100" w:hanging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平面防噪设计：</w:t>
      </w:r>
    </w:p>
    <w:p>
      <w:pPr>
        <w:spacing w:line="288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简要说明建筑外界噪声源的情况，及建筑平面布局和空间功能的合理安排，以及相应的降噪措施。（200字以内）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514" w:type="dxa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室外噪声多来自于交通噪声，室内噪声一部分为该房间内的所有噪声源对房间产生的噪声，多个室内声源噪声叠加，一部分为建筑内部相邻房间的噪声源通过隔墙传到该房间的噪声，相邻房间设备噪声对目标房间的影响</w:t>
            </w:r>
          </w:p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降噪措施：构造中空气层、填充的吸声材料，采用组合墙。</w:t>
            </w:r>
          </w:p>
        </w:tc>
      </w:tr>
    </w:tbl>
    <w:p>
      <w:pPr>
        <w:pStyle w:val="10"/>
        <w:numPr>
          <w:ilvl w:val="0"/>
          <w:numId w:val="2"/>
        </w:numPr>
        <w:spacing w:line="288" w:lineRule="auto"/>
        <w:ind w:left="630" w:leftChars="100" w:hanging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管道、设备隔声减振设计：</w:t>
      </w:r>
    </w:p>
    <w:p>
      <w:pPr>
        <w:spacing w:line="288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简要说明</w:t>
      </w:r>
      <w:r>
        <w:rPr>
          <w:rFonts w:hint="eastAsia" w:ascii="宋体" w:hAnsi="宋体" w:cs="宋体"/>
          <w:bCs/>
          <w:iCs/>
          <w:szCs w:val="21"/>
        </w:rPr>
        <w:t>对引起传声的管道、设备等物体减振、隔声处理措施</w:t>
      </w:r>
      <w:r>
        <w:rPr>
          <w:rFonts w:hint="eastAsia" w:ascii="宋体" w:hAnsi="宋体" w:cs="宋体"/>
          <w:szCs w:val="21"/>
          <w:lang w:val="zh-CN"/>
        </w:rPr>
        <w:t>。（200字以内）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514" w:type="dxa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噪声的控制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从噪声源头进行控制，噪声源主要是水泵、空调机组、管道内水流声等。</w:t>
            </w:r>
          </w:p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减振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主要在设备安装方面进行控制。</w:t>
            </w:r>
          </w:p>
          <w:p>
            <w:pPr>
              <w:spacing w:line="288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减振降噪方式：设备房选择、设备选型、设备安装、管道降噪减振、设备房及露天设备降噪</w:t>
            </w:r>
          </w:p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管道的噪声主要是管道中水流速度过快引起，在生活给水和空调水系统设计时应注意流速控制在规定范围内；消防水系统因是灭火时才使用，可以不考虑流速而重点考虑水流量的问题。</w:t>
            </w:r>
          </w:p>
        </w:tc>
      </w:tr>
    </w:tbl>
    <w:p>
      <w:pPr>
        <w:pStyle w:val="10"/>
        <w:spacing w:line="288" w:lineRule="auto"/>
        <w:ind w:left="-210" w:leftChars="-100" w:firstLine="0" w:firstLineChars="0"/>
        <w:rPr>
          <w:rFonts w:ascii="宋体" w:hAnsi="宋体" w:cs="宋体"/>
          <w:szCs w:val="21"/>
          <w:lang w:val="zh-CN"/>
        </w:rPr>
      </w:pPr>
    </w:p>
    <w:p>
      <w:pPr>
        <w:pStyle w:val="10"/>
        <w:numPr>
          <w:ilvl w:val="0"/>
          <w:numId w:val="2"/>
        </w:numPr>
        <w:spacing w:line="288" w:lineRule="auto"/>
        <w:ind w:left="630" w:leftChars="100" w:hanging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bCs/>
          <w:iCs/>
          <w:szCs w:val="21"/>
        </w:rPr>
        <w:t>管线安装和孔洞隔声</w:t>
      </w:r>
      <w:r>
        <w:rPr>
          <w:rFonts w:hint="eastAsia" w:ascii="宋体" w:hAnsi="宋体" w:cs="宋体"/>
          <w:szCs w:val="21"/>
          <w:lang w:val="zh-CN"/>
        </w:rPr>
        <w:t>设计：</w:t>
      </w:r>
    </w:p>
    <w:p>
      <w:pPr>
        <w:spacing w:line="288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简要说明</w:t>
      </w:r>
      <w:r>
        <w:rPr>
          <w:rFonts w:hint="eastAsia" w:ascii="宋体" w:hAnsi="宋体" w:cs="宋体"/>
          <w:bCs/>
          <w:iCs/>
          <w:szCs w:val="21"/>
        </w:rPr>
        <w:t>对水、暖、电、燃气、通风和空调等管线安装和孔洞处理进行有效的隔声处理措施</w:t>
      </w:r>
      <w:r>
        <w:rPr>
          <w:rFonts w:hint="eastAsia" w:ascii="宋体" w:hAnsi="宋体" w:cs="宋体"/>
          <w:szCs w:val="21"/>
          <w:lang w:val="zh-CN"/>
        </w:rPr>
        <w:t>。（200字以内）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9514" w:type="dxa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288" w:lineRule="auto"/>
        <w:rPr>
          <w:rFonts w:ascii="宋体" w:hAnsi="宋体" w:cs="宋体"/>
          <w:szCs w:val="21"/>
          <w:lang w:val="zh-CN"/>
        </w:rPr>
      </w:pPr>
    </w:p>
    <w:p>
      <w:pPr>
        <w:numPr>
          <w:ilvl w:val="0"/>
          <w:numId w:val="1"/>
        </w:numPr>
        <w:spacing w:line="288" w:lineRule="auto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证明材料</w:t>
      </w:r>
    </w:p>
    <w:p>
      <w:pPr>
        <w:spacing w:before="156" w:beforeLines="50" w:after="156" w:afterLines="50" w:line="288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建议提交材料及技术要求：</w:t>
      </w:r>
    </w:p>
    <w:tbl>
      <w:tblPr>
        <w:tblStyle w:val="4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71"/>
        <w:gridCol w:w="4476"/>
        <w:gridCol w:w="988"/>
        <w:gridCol w:w="942"/>
        <w:gridCol w:w="747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shd w:val="clear" w:color="DBE5F1" w:fill="DBE5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专业分类</w:t>
            </w:r>
          </w:p>
        </w:tc>
        <w:tc>
          <w:tcPr>
            <w:tcW w:w="1171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材料名称</w:t>
            </w:r>
          </w:p>
        </w:tc>
        <w:tc>
          <w:tcPr>
            <w:tcW w:w="4476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技术要求</w:t>
            </w:r>
          </w:p>
        </w:tc>
        <w:tc>
          <w:tcPr>
            <w:tcW w:w="988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评价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要点</w:t>
            </w:r>
          </w:p>
        </w:tc>
        <w:tc>
          <w:tcPr>
            <w:tcW w:w="942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评价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阶段</w:t>
            </w:r>
          </w:p>
        </w:tc>
        <w:tc>
          <w:tcPr>
            <w:tcW w:w="747" w:type="dxa"/>
            <w:shd w:val="clear" w:color="DBE5F1" w:fill="DBE5F1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建筑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类型</w:t>
            </w:r>
          </w:p>
        </w:tc>
        <w:tc>
          <w:tcPr>
            <w:tcW w:w="816" w:type="dxa"/>
            <w:shd w:val="clear" w:color="DBE5F1" w:fill="DBE5F1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建筑设计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建筑总平面图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应体现场地内交通干道布置，建筑（群）与周边道路及其他噪声源的距离，噪声源与噪声敏感房间的布置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平面防噪设计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设计/运行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7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建筑平面图 </w:t>
            </w:r>
          </w:p>
        </w:tc>
        <w:tc>
          <w:tcPr>
            <w:tcW w:w="4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应体现建筑空间、各层平面布局</w:t>
            </w:r>
          </w:p>
        </w:tc>
        <w:tc>
          <w:tcPr>
            <w:tcW w:w="98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7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应体现建筑设备机房、电梯间等噪声源的位置</w:t>
            </w:r>
          </w:p>
        </w:tc>
        <w:tc>
          <w:tcPr>
            <w:tcW w:w="98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暖通设计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暖通设计说明</w:t>
            </w:r>
          </w:p>
        </w:tc>
        <w:tc>
          <w:tcPr>
            <w:tcW w:w="4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应包括对设备机房隔声降噪措施的说明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平面防噪设计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设计/运行</w:t>
            </w: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给排水设计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给排水设计说明</w:t>
            </w:r>
          </w:p>
        </w:tc>
        <w:tc>
          <w:tcPr>
            <w:tcW w:w="4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应包括对排水系统形式、排水管材选用情况的说明，同时应明确采用同层排水或其他降低排水噪声的有效措施的使用率（指标要求与自评一致）</w:t>
            </w:r>
          </w:p>
        </w:tc>
        <w:tc>
          <w:tcPr>
            <w:tcW w:w="98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排水降噪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设计/运行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居住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建筑/旅馆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给排水系统图</w:t>
            </w:r>
          </w:p>
        </w:tc>
        <w:tc>
          <w:tcPr>
            <w:tcW w:w="4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应体现排水系统形式</w:t>
            </w:r>
          </w:p>
        </w:tc>
        <w:tc>
          <w:tcPr>
            <w:tcW w:w="98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给排水平面图</w:t>
            </w:r>
          </w:p>
        </w:tc>
        <w:tc>
          <w:tcPr>
            <w:tcW w:w="4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应体现排水系统形式</w:t>
            </w:r>
          </w:p>
        </w:tc>
        <w:tc>
          <w:tcPr>
            <w:tcW w:w="98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同层排水设计详图</w:t>
            </w:r>
          </w:p>
        </w:tc>
        <w:tc>
          <w:tcPr>
            <w:tcW w:w="4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应体现同层排水详细节点设计</w:t>
            </w:r>
          </w:p>
        </w:tc>
        <w:tc>
          <w:tcPr>
            <w:tcW w:w="98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其他材料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排水噪声测量分析报告或竣工验收文件</w:t>
            </w:r>
          </w:p>
        </w:tc>
        <w:tc>
          <w:tcPr>
            <w:tcW w:w="4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应包括新型降噪管优于普通PVC排水管的排水噪声测量分析报告，运行阶段应提供新型降噪管材的相关型式检验报告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排水降噪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设计/运行</w:t>
            </w: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居住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建筑/旅馆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不参评情况证明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建筑设计说明</w:t>
            </w:r>
          </w:p>
        </w:tc>
        <w:tc>
          <w:tcPr>
            <w:tcW w:w="44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应注明建筑的类型及主要使用功能，居住建筑和旅馆建筑之外的其他类型建筑第2款不参评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8.2.3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设计/运行</w:t>
            </w: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6A"/>
    <w:multiLevelType w:val="multilevel"/>
    <w:tmpl w:val="0000006A"/>
    <w:lvl w:ilvl="0" w:tentative="0">
      <w:start w:val="1"/>
      <w:numFmt w:val="bullet"/>
      <w:lvlText w:val=""/>
      <w:lvlJc w:val="left"/>
      <w:pPr>
        <w:ind w:left="4106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38"/>
    <w:rsid w:val="00804F38"/>
    <w:rsid w:val="00A45988"/>
    <w:rsid w:val="00BC4E2E"/>
    <w:rsid w:val="00CD7425"/>
    <w:rsid w:val="01C11E4C"/>
    <w:rsid w:val="5346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条文 Char"/>
    <w:link w:val="9"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9">
    <w:name w:val="条文"/>
    <w:basedOn w:val="1"/>
    <w:link w:val="8"/>
    <w:qFormat/>
    <w:uiPriority w:val="0"/>
    <w:pPr>
      <w:spacing w:line="300" w:lineRule="auto"/>
      <w:outlineLvl w:val="2"/>
    </w:pPr>
    <w:rPr>
      <w:sz w:val="24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151</Words>
  <Characters>863</Characters>
  <Lines>7</Lines>
  <Paragraphs>2</Paragraphs>
  <TotalTime>6</TotalTime>
  <ScaleCrop>false</ScaleCrop>
  <LinksUpToDate>false</LinksUpToDate>
  <CharactersWithSpaces>1012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2018-07-04T07:44:00Z</dcterms:created>
  <dc:creator>admin</dc:creator>
  <cp:lastModifiedBy>沐羽颜</cp:lastModifiedBy>
  <dcterms:modified xsi:type="dcterms:W3CDTF">2022-03-08T09:53:54Z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4D8D9E2974274F049662B9CFE1D40835</vt:lpwstr>
  </property>
</Properties>
</file>