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8.2.7采用合理措施改善室内天然采光效果。（评价总分值14分）</w:t>
      </w:r>
    </w:p>
    <w:p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参评情况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sym w:font="Wingdings 2" w:char="0052"/>
      </w:r>
      <w:r>
        <w:rPr>
          <w:rFonts w:hint="eastAsia" w:ascii="宋体" w:hAnsi="宋体" w:cs="宋体"/>
          <w:kern w:val="0"/>
          <w:szCs w:val="21"/>
        </w:rPr>
        <w:t>参评□不参评，原因（）</w:t>
      </w:r>
    </w:p>
    <w:p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得分自评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121"/>
        <w:gridCol w:w="2789"/>
        <w:gridCol w:w="1365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861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序号</w:t>
            </w:r>
          </w:p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5910" w:type="dxa"/>
            <w:gridSpan w:val="2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评价内容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318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5910" w:type="dxa"/>
            <w:gridSpan w:val="2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主要功能房间有合理的控制眩光措施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6</w:t>
            </w:r>
          </w:p>
        </w:tc>
        <w:tc>
          <w:tcPr>
            <w:tcW w:w="1318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hint="eastAsia" w:ascii="宋体" w:hAnsi="宋体" w:eastAsia="宋体" w:cs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iCs/>
                <w:sz w:val="21"/>
                <w:szCs w:val="21"/>
              </w:rPr>
              <w:t>2</w:t>
            </w:r>
          </w:p>
        </w:tc>
        <w:tc>
          <w:tcPr>
            <w:tcW w:w="5910" w:type="dxa"/>
            <w:gridSpan w:val="2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内区采光系数满足采光要求的面积比例达到60%</w:t>
            </w:r>
          </w:p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iCs/>
                <w:sz w:val="21"/>
                <w:szCs w:val="21"/>
              </w:rPr>
              <w:t>或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无内区，</w:t>
            </w:r>
            <w:r>
              <w:rPr>
                <w:rFonts w:hint="eastAsia" w:ascii="宋体" w:hAnsi="宋体" w:cs="宋体"/>
                <w:b/>
                <w:iCs/>
                <w:sz w:val="21"/>
                <w:szCs w:val="21"/>
              </w:rPr>
              <w:t>或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住宅建筑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4</w:t>
            </w:r>
          </w:p>
        </w:tc>
        <w:tc>
          <w:tcPr>
            <w:tcW w:w="1318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hint="eastAsia" w:ascii="宋体" w:hAnsi="宋体" w:eastAsia="宋体" w:cs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" w:type="dxa"/>
            <w:vMerge w:val="restart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bookmarkStart w:id="0" w:name="_GoBack" w:colFirst="4" w:colLast="4"/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3</w:t>
            </w:r>
          </w:p>
        </w:tc>
        <w:tc>
          <w:tcPr>
            <w:tcW w:w="3121" w:type="dxa"/>
            <w:vMerge w:val="restart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地下空间平均采光系数不小于0.5%的面积与首层地下室面积的比例R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  <w:vertAlign w:val="subscript"/>
              </w:rPr>
              <w:t>A</w:t>
            </w:r>
          </w:p>
        </w:tc>
        <w:tc>
          <w:tcPr>
            <w:tcW w:w="2789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5%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≤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R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  <w:vertAlign w:val="subscript"/>
              </w:rPr>
              <w:t>A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&lt;10%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hint="eastAsia" w:ascii="宋体" w:hAnsi="宋体" w:eastAsia="宋体" w:cs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  <w:lang w:val="en-US" w:eastAsia="zh-CN"/>
              </w:rPr>
              <w:t>4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12"/>
              <w:spacing w:line="288" w:lineRule="auto"/>
              <w:jc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21" w:type="dxa"/>
            <w:vMerge w:val="continue"/>
            <w:vAlign w:val="center"/>
          </w:tcPr>
          <w:p>
            <w:pPr>
              <w:pStyle w:val="12"/>
              <w:spacing w:line="288" w:lineRule="auto"/>
              <w:jc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10%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≤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R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  <w:vertAlign w:val="subscript"/>
              </w:rPr>
              <w:t>A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&lt;15%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12"/>
              <w:spacing w:line="288" w:lineRule="auto"/>
              <w:jc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21" w:type="dxa"/>
            <w:vMerge w:val="continue"/>
            <w:vAlign w:val="center"/>
          </w:tcPr>
          <w:p>
            <w:pPr>
              <w:pStyle w:val="12"/>
              <w:spacing w:line="288" w:lineRule="auto"/>
              <w:jc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15%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≤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R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  <w:vertAlign w:val="subscript"/>
              </w:rPr>
              <w:t>A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&lt;20%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3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121" w:type="dxa"/>
            <w:vMerge w:val="continue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R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  <w:vertAlign w:val="subscript"/>
              </w:rPr>
              <w:t>A</w:t>
            </w: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≥20%（或无地下室）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4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5910" w:type="dxa"/>
            <w:gridSpan w:val="2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365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14</w:t>
            </w:r>
          </w:p>
        </w:tc>
        <w:tc>
          <w:tcPr>
            <w:tcW w:w="1318" w:type="dxa"/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hint="default" w:ascii="宋体" w:hAnsi="宋体" w:eastAsia="宋体" w:cs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  <w:lang w:val="en-US" w:eastAsia="zh-CN"/>
              </w:rPr>
              <w:t>14</w:t>
            </w:r>
          </w:p>
        </w:tc>
      </w:tr>
    </w:tbl>
    <w:p>
      <w:pPr>
        <w:spacing w:line="288" w:lineRule="auto"/>
        <w:rPr>
          <w:rFonts w:ascii="宋体" w:hAnsi="宋体" w:cs="宋体"/>
          <w:kern w:val="0"/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评价要点</w:t>
      </w:r>
    </w:p>
    <w:p>
      <w:pPr>
        <w:pStyle w:val="13"/>
        <w:numPr>
          <w:ilvl w:val="0"/>
          <w:numId w:val="2"/>
        </w:numPr>
        <w:spacing w:line="288" w:lineRule="auto"/>
        <w:ind w:left="630" w:leftChars="100" w:hangingChars="2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防眩光措施：</w:t>
      </w:r>
    </w:p>
    <w:p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项目设计是否符合《建筑采光设计标准》中控制不舒适眩光的相关规定：</w:t>
      </w:r>
      <w:r>
        <w:rPr>
          <w:rFonts w:hint="eastAsia" w:ascii="宋体" w:hAnsi="宋体" w:cs="宋体"/>
          <w:szCs w:val="21"/>
          <w:lang w:val="zh-CN"/>
        </w:rPr>
        <w:sym w:font="Wingdings 2" w:char="0052"/>
      </w:r>
      <w:r>
        <w:rPr>
          <w:rFonts w:hint="eastAsia" w:ascii="宋体" w:hAnsi="宋体" w:cs="宋体"/>
          <w:szCs w:val="21"/>
          <w:lang w:val="zh-CN"/>
        </w:rPr>
        <w:t>是、□否</w:t>
      </w:r>
    </w:p>
    <w:p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概述改善室内防眩光采用的措施。（200字以内）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514" w:type="dxa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通过安装加厚的窗帘、工作学习时调换桌椅位置、外出时佩戴质量可靠的偏光镜等方式避免受到光污染的影响。</w:t>
            </w:r>
          </w:p>
          <w:p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适当改变室内的墙壁颜色，如使用淡蓝、米黄，而非纯白色，并对室内光源颜色和位置进行调整，避免眩光和直射眼睛，在日照强烈的房间，加装百叶窗、双层窗帘等来减弱光源。</w:t>
            </w:r>
          </w:p>
        </w:tc>
      </w:tr>
    </w:tbl>
    <w:p>
      <w:pPr>
        <w:spacing w:line="288" w:lineRule="auto"/>
        <w:rPr>
          <w:rFonts w:ascii="宋体" w:hAnsi="宋体" w:cs="宋体"/>
          <w:szCs w:val="21"/>
        </w:rPr>
      </w:pPr>
    </w:p>
    <w:p>
      <w:pPr>
        <w:spacing w:line="288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主要功能房间的眩光指数统计表</w:t>
      </w:r>
    </w:p>
    <w:tbl>
      <w:tblPr>
        <w:tblStyle w:val="6"/>
        <w:tblW w:w="8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131"/>
        <w:gridCol w:w="1657"/>
        <w:gridCol w:w="23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房间类型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采光等级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眩光指数值</w:t>
            </w:r>
            <w:r>
              <w:rPr>
                <w:rFonts w:hint="eastAsia" w:ascii="宋体" w:hAnsi="宋体" w:cs="宋体"/>
                <w:bCs/>
                <w:i/>
                <w:szCs w:val="21"/>
              </w:rPr>
              <w:t>DGI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是否满足要求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阅览室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III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15.2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sym w:font="Wingdings 2" w:char="0052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阶梯教室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III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18.0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sym w:font="Wingdings 2" w:char="0052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餐厅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IV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16.4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sym w:font="Wingdings 2" w:char="0052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大堂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IV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14.5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sym w:font="Wingdings 2" w:char="0052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办公室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III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14.5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sym w:font="Wingdings 2" w:char="0052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办公室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III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15.8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sym w:font="Wingdings 2" w:char="0052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办公室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III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13.8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sym w:font="Wingdings 2" w:char="0052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阅览室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III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18.0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sym w:font="Wingdings 2" w:char="0052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普通教室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III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t>16.7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sym w:font="Wingdings 2" w:char="0052"/>
            </w:r>
          </w:p>
        </w:tc>
      </w:tr>
    </w:tbl>
    <w:p>
      <w:pPr>
        <w:spacing w:line="288" w:lineRule="auto"/>
        <w:rPr>
          <w:rFonts w:ascii="宋体" w:hAnsi="宋体" w:cs="宋体"/>
          <w:szCs w:val="21"/>
        </w:rPr>
      </w:pPr>
    </w:p>
    <w:p>
      <w:pPr>
        <w:pStyle w:val="13"/>
        <w:spacing w:line="288" w:lineRule="auto"/>
        <w:ind w:left="-210" w:leftChars="-100" w:firstLine="0" w:firstLineChars="0"/>
        <w:rPr>
          <w:rFonts w:ascii="宋体" w:hAnsi="宋体" w:cs="宋体"/>
          <w:szCs w:val="21"/>
          <w:lang w:val="zh-CN"/>
        </w:rPr>
      </w:pPr>
    </w:p>
    <w:p>
      <w:pPr>
        <w:pStyle w:val="13"/>
        <w:numPr>
          <w:ilvl w:val="0"/>
          <w:numId w:val="2"/>
        </w:numPr>
        <w:spacing w:line="288" w:lineRule="auto"/>
        <w:ind w:left="630" w:leftChars="100" w:hangingChars="2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内区采光：</w:t>
      </w:r>
    </w:p>
    <w:p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项目是否为住宅建筑：□是、</w:t>
      </w:r>
      <w:r>
        <w:rPr>
          <w:rFonts w:hint="eastAsia" w:ascii="宋体" w:hAnsi="宋体" w:cs="宋体"/>
          <w:szCs w:val="21"/>
          <w:lang w:val="zh-CN"/>
        </w:rPr>
        <w:sym w:font="Wingdings 2" w:char="0052"/>
      </w:r>
      <w:r>
        <w:rPr>
          <w:rFonts w:hint="eastAsia" w:ascii="宋体" w:hAnsi="宋体" w:cs="宋体"/>
          <w:szCs w:val="21"/>
          <w:lang w:val="zh-CN"/>
        </w:rPr>
        <w:t>否</w:t>
      </w:r>
    </w:p>
    <w:p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项目是否有内区：</w:t>
      </w:r>
      <w:r>
        <w:rPr>
          <w:rFonts w:hint="eastAsia" w:ascii="宋体" w:hAnsi="宋体" w:cs="宋体"/>
          <w:szCs w:val="21"/>
          <w:lang w:val="zh-CN"/>
        </w:rPr>
        <w:sym w:font="Wingdings 2" w:char="0052"/>
      </w:r>
      <w:r>
        <w:rPr>
          <w:rFonts w:hint="eastAsia" w:ascii="宋体" w:hAnsi="宋体" w:cs="宋体"/>
          <w:szCs w:val="21"/>
          <w:lang w:val="zh-CN"/>
        </w:rPr>
        <w:t>是、□否</w:t>
      </w:r>
    </w:p>
    <w:p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内区采光系数达标情况统计列表：</w:t>
      </w:r>
    </w:p>
    <w:tbl>
      <w:tblPr>
        <w:tblStyle w:val="6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229"/>
        <w:gridCol w:w="1343"/>
        <w:gridCol w:w="1733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分析区域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主要功能空间面积</w:t>
            </w:r>
          </w:p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（m</w:t>
            </w:r>
            <w:r>
              <w:rPr>
                <w:rFonts w:hint="eastAsia" w:ascii="宋体" w:hAnsi="宋体" w:cs="宋体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）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内区面积</w:t>
            </w:r>
          </w:p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（m</w:t>
            </w:r>
            <w:r>
              <w:rPr>
                <w:rFonts w:hint="eastAsia" w:ascii="宋体" w:hAnsi="宋体" w:cs="宋体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）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采光达标面积</w:t>
            </w:r>
          </w:p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（m</w:t>
            </w:r>
            <w:r>
              <w:rPr>
                <w:rFonts w:hint="eastAsia" w:ascii="宋体" w:hAnsi="宋体" w:cs="宋体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）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采光达标面积比例（%）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大堂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45.76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45.76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阅览室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220.2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阶梯教室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11.48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11.48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普通教室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12.51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普通教室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24.51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11.48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11.48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47.29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47.29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阅览室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起居室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普通教室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21.96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21.96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普通教室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普通教室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起居室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阅览室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普通教室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普通教室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19.11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起居室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阅览室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hint="default" w:ascii="宋体" w:hAnsi="宋体" w:eastAsia="宋体" w:cs="宋体"/>
                <w:bCs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  <w:lang w:val="en-US" w:eastAsia="zh-CN"/>
              </w:rPr>
              <w:t>630.63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hint="default" w:ascii="宋体" w:hAnsi="宋体" w:eastAsia="宋体" w:cs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  <w:lang w:val="en-US" w:eastAsia="zh-CN"/>
              </w:rPr>
              <w:t>585.39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hint="default" w:ascii="宋体" w:hAnsi="宋体" w:eastAsia="宋体" w:cs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1"/>
                <w:szCs w:val="21"/>
                <w:lang w:val="en-US" w:eastAsia="zh-CN"/>
              </w:rPr>
              <w:t>77.28</w:t>
            </w:r>
          </w:p>
        </w:tc>
      </w:tr>
    </w:tbl>
    <w:p>
      <w:pPr>
        <w:pStyle w:val="13"/>
        <w:numPr>
          <w:ilvl w:val="0"/>
          <w:numId w:val="2"/>
        </w:numPr>
        <w:spacing w:line="288" w:lineRule="auto"/>
        <w:ind w:left="630" w:leftChars="100" w:hangingChars="2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地下室采光：</w:t>
      </w:r>
    </w:p>
    <w:p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项目是否有地下室：□是、</w:t>
      </w:r>
      <w:r>
        <w:rPr>
          <w:rFonts w:hint="eastAsia" w:ascii="宋体" w:hAnsi="宋体" w:cs="宋体"/>
          <w:szCs w:val="21"/>
          <w:lang w:val="zh-CN"/>
        </w:rPr>
        <w:sym w:font="Wingdings 2" w:char="0052"/>
      </w:r>
      <w:r>
        <w:rPr>
          <w:rFonts w:hint="eastAsia" w:ascii="宋体" w:hAnsi="宋体" w:cs="宋体"/>
          <w:szCs w:val="21"/>
          <w:lang w:val="zh-CN"/>
        </w:rPr>
        <w:t>否</w:t>
      </w:r>
    </w:p>
    <w:p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地下室采光系数达标情况统计列表：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771"/>
        <w:gridCol w:w="2523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分析区域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首层地下室面积（m</w:t>
            </w:r>
            <w:r>
              <w:rPr>
                <w:rFonts w:hint="eastAsia" w:ascii="宋体" w:hAnsi="宋体" w:cs="宋体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）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采光达标面积（m</w:t>
            </w:r>
            <w:r>
              <w:rPr>
                <w:rFonts w:hint="eastAsia" w:ascii="宋体" w:hAnsi="宋体" w:cs="宋体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）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采光达标面积比例（%）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证明材料</w:t>
      </w:r>
    </w:p>
    <w:p>
      <w:pPr>
        <w:spacing w:before="156" w:beforeLines="50" w:after="156" w:afterLines="50" w:line="288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建议提交材料及技术要求：</w:t>
      </w:r>
    </w:p>
    <w:tbl>
      <w:tblPr>
        <w:tblStyle w:val="6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71"/>
        <w:gridCol w:w="4476"/>
        <w:gridCol w:w="892"/>
        <w:gridCol w:w="802"/>
        <w:gridCol w:w="905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技术要求</w:t>
            </w:r>
          </w:p>
        </w:tc>
        <w:tc>
          <w:tcPr>
            <w:tcW w:w="892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要点</w:t>
            </w:r>
          </w:p>
        </w:tc>
        <w:tc>
          <w:tcPr>
            <w:tcW w:w="802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应说明主要功能房间控制眩光的措施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防眩光措施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应体现建筑平面及空间布局、地下室设置情况；应体现防眩光的设计措施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防眩光措施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应体现改善内区采光设计措施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内区采光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应体现改善地下室天然采光效果的设计措施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地下室采光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天然采光系数现场检测报告</w:t>
            </w: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应包括在典型气象条件下对地下室的采光系数进行现场检测的数据，并应统计出地下室不同范围内采光系数满足标准要求的面积比例（指标要求与自评一致）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地下室采光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运行评价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应包括在典型气象条件下对内区的采光系数进行现场检测的数据，并应统计出内区不同范围内采光系数满足标准要求的面积比例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内区采光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运行评价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天然采光模拟分析报告</w:t>
            </w: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应包括对地下室不同网格范围内采光系数分布、满足标准要求面积比例（指标要求与自评一致）这两项指标的计算说明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地下室采光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应包括对内区不同网格范围内采光系数分布、满足标准要求面积比例（指标要求与自评一致）这两项指标的计算说明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内区采光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应包括对主要功能房间窗的不舒适眩光指数的计算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防眩光措施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</w:p>
        </w:tc>
      </w:tr>
    </w:tbl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45"/>
    <w:multiLevelType w:val="multilevel"/>
    <w:tmpl w:val="00000045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 w:tentative="0">
      <w:start w:val="1"/>
      <w:numFmt w:val="bullet"/>
      <w:lvlText w:val=""/>
      <w:lvlJc w:val="left"/>
      <w:pPr>
        <w:ind w:left="4106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F5"/>
    <w:rsid w:val="007F32E5"/>
    <w:rsid w:val="00912FF5"/>
    <w:rsid w:val="00CD7425"/>
    <w:rsid w:val="00D10B78"/>
    <w:rsid w:val="2A021019"/>
    <w:rsid w:val="2DB34757"/>
    <w:rsid w:val="2ED31DB0"/>
    <w:rsid w:val="30D51E0F"/>
    <w:rsid w:val="61A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0"/>
    <w:qFormat/>
    <w:uiPriority w:val="0"/>
    <w:pPr>
      <w:snapToGrid w:val="0"/>
      <w:spacing w:before="0" w:after="0" w:line="240" w:lineRule="auto"/>
      <w:jc w:val="left"/>
      <w:outlineLvl w:val="2"/>
    </w:pPr>
    <w:rPr>
      <w:rFonts w:ascii="黑体" w:hAnsi="黑体" w:eastAsia="黑体" w:cs="Times New Roman"/>
      <w:b w:val="0"/>
      <w:bCs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3"/>
    <w:qFormat/>
    <w:uiPriority w:val="0"/>
    <w:rPr>
      <w:rFonts w:ascii="黑体" w:hAnsi="黑体" w:eastAsia="黑体" w:cs="Times New Roman"/>
      <w:sz w:val="24"/>
      <w:szCs w:val="32"/>
    </w:rPr>
  </w:style>
  <w:style w:type="character" w:customStyle="1" w:styleId="11">
    <w:name w:val="条文 Char"/>
    <w:link w:val="12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2">
    <w:name w:val="条文"/>
    <w:basedOn w:val="1"/>
    <w:link w:val="11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3">
    <w:name w:val="列出段落1"/>
    <w:basedOn w:val="1"/>
    <w:uiPriority w:val="0"/>
    <w:pPr>
      <w:ind w:firstLine="420" w:firstLineChars="200"/>
    </w:pPr>
  </w:style>
  <w:style w:type="character" w:customStyle="1" w:styleId="14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195</Words>
  <Characters>1113</Characters>
  <Lines>9</Lines>
  <Paragraphs>2</Paragraphs>
  <TotalTime>2</TotalTime>
  <ScaleCrop>false</ScaleCrop>
  <LinksUpToDate>false</LinksUpToDate>
  <CharactersWithSpaces>1306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2018-07-04T07:46:00Z</dcterms:created>
  <dc:creator>admin</dc:creator>
  <cp:lastModifiedBy>沐羽颜</cp:lastModifiedBy>
  <dcterms:modified xsi:type="dcterms:W3CDTF">2022-03-09T09:42:13Z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BFF6D52C38C84A97A92E8E0581E5FBEE</vt:lpwstr>
  </property>
</Properties>
</file>