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建筑可开启面积比例计算书</w:t>
      </w: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hint="eastAsia" w:ascii="宋体" w:hAnsi="宋体"/>
                <w:sz w:val="21"/>
                <w:szCs w:val="21"/>
              </w:rPr>
              <w:t>南昌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绿建斯维尔</w:t>
            </w:r>
            <w:bookmarkStart w:id="7" w:name="采用软件"/>
            <w:r>
              <w:rPr>
                <w:rFonts w:hint="eastAsia" w:ascii="宋体" w:hAnsi="宋体"/>
              </w:rPr>
              <w:t>建筑通风Vent2020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T15050749526</w:t>
            </w:r>
            <w:bookmarkEnd w:id="9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7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10" w:name="_Toc420309360"/>
      <w:bookmarkStart w:id="11" w:name="_Toc420663548"/>
      <w:r>
        <w:rPr>
          <w:rFonts w:hint="eastAsia"/>
        </w:rPr>
        <w:t>建筑概况</w:t>
      </w:r>
      <w:bookmarkEnd w:id="10"/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hint="eastAsia" w:ascii="宋体" w:hAnsi="宋体"/>
                <w:lang w:val="en-US"/>
              </w:rPr>
              <w:t>南昌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>
              <w:rPr>
                <w:rFonts w:ascii="宋体" w:hAnsi="宋体"/>
                <w:lang w:val="en-US"/>
              </w:rPr>
              <w:t>5370</w:t>
            </w:r>
            <w:bookmarkEnd w:id="14"/>
            <w:r>
              <w:rPr>
                <w:rFonts w:hint="eastAsia" w:ascii="宋体" w:hAnsi="宋体"/>
                <w:lang w:val="en-US"/>
              </w:rPr>
              <w:t>m</w:t>
            </w:r>
            <w:r>
              <w:rPr>
                <w:rFonts w:hint="eastAsia" w:ascii="宋体" w:hAnsi="宋体"/>
                <w:vertAlign w:val="superscript"/>
                <w:lang w:val="en-US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层数"/>
            <w:r>
              <w:rPr>
                <w:rFonts w:hint="eastAsia" w:ascii="宋体" w:hAnsi="宋体"/>
                <w:lang w:val="en-US"/>
              </w:rPr>
              <w:t>3</w:t>
            </w:r>
            <w:bookmarkEnd w:id="15"/>
            <w:r>
              <w:rPr>
                <w:rFonts w:hint="eastAsia" w:ascii="宋体" w:hAnsi="宋体"/>
                <w:lang w:val="en-US"/>
              </w:rPr>
              <w:t>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hint="eastAsia" w:ascii="宋体" w:hAnsi="宋体"/>
                <w:lang w:val="en-US"/>
              </w:rPr>
              <w:t>13.5</w:t>
            </w:r>
            <w:bookmarkEnd w:id="16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</w:tbl>
    <w:p>
      <w:pPr>
        <w:pStyle w:val="2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bookmarkEnd w:id="19"/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20"/>
      <w:r>
        <w:rPr>
          <w:rFonts w:hint="eastAsia"/>
          <w:kern w:val="2"/>
          <w:sz w:val="21"/>
          <w:szCs w:val="24"/>
          <w:lang w:val="en-US"/>
        </w:rPr>
        <w:t>1. 《绿色建筑评价标准》(GB/T50378-2014)</w:t>
      </w:r>
    </w:p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2. 《绿色建筑评价技术细则》</w:t>
      </w:r>
    </w:p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>
      <w:pPr>
        <w:pStyle w:val="2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《绿色建筑评价标准》(GB/T50378-2014)中规定：</w:t>
      </w:r>
    </w:p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外窗、玻璃幕墙的可开启部分能使建筑获得良好的通风，评价总分值为</w:t>
      </w:r>
      <w:r>
        <w:rPr>
          <w:kern w:val="2"/>
          <w:sz w:val="21"/>
          <w:szCs w:val="24"/>
          <w:lang w:val="en-US"/>
        </w:rPr>
        <w:t xml:space="preserve">6 </w:t>
      </w:r>
      <w:r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 xml:space="preserve">1 </w:t>
      </w:r>
      <w:r>
        <w:rPr>
          <w:rFonts w:hint="eastAsia"/>
          <w:kern w:val="2"/>
          <w:sz w:val="21"/>
          <w:szCs w:val="24"/>
          <w:lang w:val="en-US"/>
        </w:rPr>
        <w:t>设玻璃幕墙且不设外窗的建筑，</w:t>
      </w:r>
      <w:bookmarkStart w:id="32" w:name="_GoBack"/>
      <w:r>
        <w:rPr>
          <w:rFonts w:hint="eastAsia"/>
          <w:kern w:val="2"/>
          <w:sz w:val="21"/>
          <w:szCs w:val="24"/>
          <w:lang w:val="en-US"/>
        </w:rPr>
        <w:t>其玻璃幕墙透明部分可开启面积比例达到</w:t>
      </w:r>
      <w:r>
        <w:rPr>
          <w:kern w:val="2"/>
          <w:sz w:val="21"/>
          <w:szCs w:val="24"/>
          <w:lang w:val="en-US"/>
        </w:rPr>
        <w:t xml:space="preserve">5 % </w:t>
      </w:r>
      <w:bookmarkEnd w:id="32"/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4 </w:t>
      </w:r>
      <w:r>
        <w:rPr>
          <w:rFonts w:hint="eastAsia"/>
          <w:kern w:val="2"/>
          <w:sz w:val="21"/>
          <w:szCs w:val="24"/>
          <w:lang w:val="en-US"/>
        </w:rPr>
        <w:t>分；达到</w:t>
      </w:r>
      <w:r>
        <w:rPr>
          <w:kern w:val="2"/>
          <w:sz w:val="21"/>
          <w:szCs w:val="24"/>
          <w:lang w:val="en-US"/>
        </w:rPr>
        <w:t>1 0 %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6 </w:t>
      </w:r>
      <w:r>
        <w:rPr>
          <w:rFonts w:hint="eastAsia"/>
          <w:kern w:val="2"/>
          <w:sz w:val="21"/>
          <w:szCs w:val="24"/>
          <w:lang w:val="en-US"/>
        </w:rPr>
        <w:t>分。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 xml:space="preserve">2 </w:t>
      </w:r>
      <w:r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>
        <w:rPr>
          <w:kern w:val="2"/>
          <w:sz w:val="21"/>
          <w:szCs w:val="24"/>
          <w:lang w:val="en-US"/>
        </w:rPr>
        <w:t>3 0 %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4 </w:t>
      </w:r>
      <w:r>
        <w:rPr>
          <w:rFonts w:hint="eastAsia"/>
          <w:kern w:val="2"/>
          <w:sz w:val="21"/>
          <w:szCs w:val="24"/>
          <w:lang w:val="en-US"/>
        </w:rPr>
        <w:t>分；达到</w:t>
      </w:r>
      <w:r>
        <w:rPr>
          <w:kern w:val="2"/>
          <w:sz w:val="21"/>
          <w:szCs w:val="24"/>
          <w:lang w:val="en-US"/>
        </w:rPr>
        <w:t>3 5 %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6 </w:t>
      </w:r>
      <w:r>
        <w:rPr>
          <w:rFonts w:hint="eastAsia"/>
          <w:kern w:val="2"/>
          <w:sz w:val="21"/>
          <w:szCs w:val="24"/>
          <w:lang w:val="en-US"/>
        </w:rPr>
        <w:t>分。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 xml:space="preserve">3 </w:t>
      </w:r>
      <w:r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>
        <w:rPr>
          <w:kern w:val="2"/>
          <w:sz w:val="21"/>
          <w:szCs w:val="24"/>
          <w:lang w:val="en-US"/>
        </w:rPr>
        <w:t xml:space="preserve">1 </w:t>
      </w:r>
      <w:r>
        <w:rPr>
          <w:rFonts w:hint="eastAsia"/>
          <w:kern w:val="2"/>
          <w:sz w:val="21"/>
          <w:szCs w:val="24"/>
          <w:lang w:val="en-US"/>
        </w:rPr>
        <w:t>款和第</w:t>
      </w:r>
      <w:r>
        <w:rPr>
          <w:kern w:val="2"/>
          <w:sz w:val="21"/>
          <w:szCs w:val="24"/>
          <w:lang w:val="en-US"/>
        </w:rPr>
        <w:t xml:space="preserve">2 </w:t>
      </w:r>
      <w:r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>《绿色建筑评价技术细则》5.2.2的【具体评价方式】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>当建筑层数大于18层时，18层以上部分不参评，仅对其第18层及以下各层的外窗和玻璃幕墙可开启面积比例进行评价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本计算书主要通过对建筑18层及18层以下部分的外窗与玻璃幕墙可开启面积比例的计算，判断设计建筑对该条文的符合情况。</w:t>
      </w:r>
    </w:p>
    <w:p>
      <w:pPr>
        <w:pStyle w:val="2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>
      <w:pPr>
        <w:pStyle w:val="4"/>
      </w:pPr>
      <w:r>
        <w:rPr>
          <w:rFonts w:hint="eastAsia"/>
        </w:rPr>
        <w:t>计算内容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建筑可开启面积比例的计算书。</w:t>
      </w:r>
    </w:p>
    <w:p>
      <w:pPr>
        <w:pStyle w:val="4"/>
      </w:pPr>
      <w:r>
        <w:rPr>
          <w:rFonts w:hint="eastAsia"/>
        </w:rPr>
        <w:t>计算方法</w:t>
      </w:r>
    </w:p>
    <w:p>
      <w:pPr>
        <w:widowControl w:val="0"/>
        <w:spacing w:line="240" w:lineRule="auto"/>
        <w:ind w:firstLine="422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b/>
          <w:kern w:val="2"/>
          <w:sz w:val="21"/>
          <w:szCs w:val="24"/>
          <w:lang w:val="en-US"/>
        </w:rPr>
        <w:t>4.2.1 外窗可开启面积比例计算：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object>
          <v:shape id="_x0000_i1025" o:spt="75" type="#_x0000_t75" style="height:34.5pt;width:107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</w:p>
    <w:p>
      <w:pPr>
        <w:widowControl w:val="0"/>
        <w:spacing w:line="240" w:lineRule="auto"/>
        <w:ind w:left="360" w:leftChars="20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26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—外窗可开启面积比例（%）；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27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—18层及18层以下部分的外窗可开启面积之和（m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28" o:spt="75" type="#_x0000_t75" style="height:18.75pt;width:22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—18层及18层以下部分的外窗面积之和（m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ab/>
      </w:r>
      <w:r>
        <w:rPr>
          <w:rFonts w:hint="eastAsia"/>
          <w:kern w:val="2"/>
          <w:sz w:val="21"/>
          <w:szCs w:val="24"/>
          <w:lang w:val="en-US"/>
        </w:rPr>
        <w:t>注：可开启面积即可开启窗扇的洞口面积。如图1所示。</w:t>
      </w:r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>
      <w:pPr>
        <w:widowControl w:val="0"/>
        <w:spacing w:line="240" w:lineRule="auto"/>
        <w:ind w:firstLine="424" w:firstLineChars="201"/>
        <w:rPr>
          <w:kern w:val="2"/>
          <w:sz w:val="21"/>
          <w:szCs w:val="24"/>
          <w:lang w:val="en-US"/>
        </w:rPr>
      </w:pPr>
      <w:r>
        <w:rPr>
          <w:rFonts w:hint="eastAsia"/>
          <w:b/>
          <w:kern w:val="2"/>
          <w:sz w:val="21"/>
          <w:szCs w:val="24"/>
          <w:lang w:val="en-US"/>
        </w:rPr>
        <w:t>4.2.2 玻璃幕墙可开启面积比例计算：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object>
          <v:shape id="_x0000_i1029" o:spt="75" type="#_x0000_t75" style="height:34.5pt;width:10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</w:p>
    <w:p>
      <w:pPr>
        <w:widowControl w:val="0"/>
        <w:spacing w:line="240" w:lineRule="auto"/>
        <w:ind w:left="360" w:leftChars="20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30" o:spt="75" type="#_x0000_t75" style="height:18.75pt;width:3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—玻璃幕墙可开启面积比例（%）；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31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—18层及18层以下部分的玻璃幕墙可开启面积之和（m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32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—18层及18层以下部分的玻璃幕墙透明部分面积之和（m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drawing>
          <wp:inline distT="0" distB="0" distL="0" distR="0">
            <wp:extent cx="4010025" cy="2341880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图1</w:t>
      </w:r>
      <w:r>
        <w:rPr>
          <w:rFonts w:hint="eastAsia"/>
          <w:kern w:val="2"/>
          <w:sz w:val="21"/>
          <w:szCs w:val="24"/>
          <w:lang w:val="en-US"/>
        </w:rPr>
        <w:tab/>
      </w:r>
      <w:r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</w:p>
    <w:p>
      <w:pPr>
        <w:widowControl w:val="0"/>
        <w:spacing w:line="240" w:lineRule="auto"/>
        <w:ind w:left="900" w:leftChars="500"/>
        <w:rPr>
          <w:kern w:val="2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kern w:val="2"/>
          <w:sz w:val="21"/>
          <w:szCs w:val="24"/>
        </w:rPr>
      </w:pPr>
      <w:r>
        <w:rPr>
          <w:rFonts w:hint="eastAsia"/>
          <w:kern w:val="2"/>
        </w:rPr>
        <w:t>可开启面积比例统计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表1-建筑可开启面积比例统计计算表</w:t>
      </w:r>
      <w:bookmarkEnd w:id="25"/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Style w:val="19"/>
        <w:tblW w:w="13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</w:tcPr>
          <w:p>
            <w:r>
              <w:t>外窗</w:t>
            </w:r>
          </w:p>
        </w:tc>
        <w:tc>
          <w:tcPr>
            <w:gridSpan w:val="3"/>
            <w:vAlign w:val="center"/>
          </w:tcPr>
          <w:p>
            <w:r>
              <w:t>外窗尺寸</w:t>
            </w:r>
          </w:p>
        </w:tc>
        <w:tc>
          <w:tcPr>
            <w:gridSpan w:val="4"/>
            <w:vAlign w:val="center"/>
          </w:tcPr>
          <w:p>
            <w:r>
              <w:t>外窗可开启面积尺寸</w:t>
            </w:r>
          </w:p>
        </w:tc>
        <w:tc>
          <w:tcPr>
            <w:vMerge w:val="restart"/>
            <w:vAlign w:val="center"/>
          </w:tcPr>
          <w:p>
            <w:r>
              <w:t>可开启面积比例(%)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编号</w:t>
            </w:r>
          </w:p>
        </w:tc>
        <w:tc>
          <w:tcPr>
            <w:vAlign w:val="center"/>
          </w:tcPr>
          <w:p>
            <w:r>
              <w:t>类型</w:t>
            </w:r>
          </w:p>
        </w:tc>
        <w:tc>
          <w:tcPr>
            <w:vAlign w:val="center"/>
          </w:tcPr>
          <w:p>
            <w:r>
              <w:t>数量(个)</w:t>
            </w:r>
          </w:p>
        </w:tc>
        <w:tc>
          <w:tcPr>
            <w:vAlign w:val="center"/>
          </w:tcPr>
          <w:p>
            <w:r>
              <w:t>宽度(m)</w:t>
            </w:r>
          </w:p>
        </w:tc>
        <w:tc>
          <w:tcPr>
            <w:vAlign w:val="center"/>
          </w:tcPr>
          <w:p>
            <w:r>
              <w:t>高度(m)</w:t>
            </w:r>
          </w:p>
        </w:tc>
        <w:tc>
          <w:tcPr>
            <w:vAlign w:val="center"/>
          </w:tcPr>
          <w:p>
            <w:r>
              <w:t>面积(㎡)</w:t>
            </w:r>
          </w:p>
        </w:tc>
        <w:tc>
          <w:tcPr>
            <w:vAlign w:val="center"/>
          </w:tcPr>
          <w:p>
            <w:r>
              <w:t>宽度(m)</w:t>
            </w:r>
          </w:p>
        </w:tc>
        <w:tc>
          <w:tcPr>
            <w:vAlign w:val="center"/>
          </w:tcPr>
          <w:p>
            <w:r>
              <w:t>高度(m)</w:t>
            </w:r>
          </w:p>
        </w:tc>
        <w:tc>
          <w:tcPr>
            <w:vAlign w:val="center"/>
          </w:tcPr>
          <w:p>
            <w:r>
              <w:t>数量(个)</w:t>
            </w:r>
          </w:p>
        </w:tc>
        <w:tc>
          <w:tcPr>
            <w:vAlign w:val="center"/>
          </w:tcPr>
          <w:p>
            <w:r>
              <w:t>面积(㎡)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推拉窗-向左开</w:t>
            </w:r>
          </w:p>
        </w:tc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推拉窗-向左开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推拉窗-向左开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1.35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推拉窗-向左开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151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247.50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123.75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bookmarkEnd w:id="26"/>
    </w:tbl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7"/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8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Style w:val="19"/>
        <w:tblW w:w="13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</w:tcPr>
          <w:p>
            <w:r>
              <w:t>玻璃幕墙</w:t>
            </w:r>
          </w:p>
        </w:tc>
        <w:tc>
          <w:tcPr>
            <w:gridSpan w:val="3"/>
            <w:vAlign w:val="center"/>
          </w:tcPr>
          <w:p>
            <w:r>
              <w:t>玻璃幕墙透明部分尺寸</w:t>
            </w:r>
          </w:p>
        </w:tc>
        <w:tc>
          <w:tcPr>
            <w:gridSpan w:val="4"/>
            <w:vAlign w:val="center"/>
          </w:tcPr>
          <w:p>
            <w:r>
              <w:t>玻璃幕墙可开启面积尺寸</w:t>
            </w:r>
          </w:p>
        </w:tc>
        <w:tc>
          <w:tcPr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可开启面积比例(%)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编号</w:t>
            </w:r>
          </w:p>
        </w:tc>
        <w:tc>
          <w:tcPr>
            <w:vAlign w:val="center"/>
          </w:tcPr>
          <w:p>
            <w:r>
              <w:t>类型</w:t>
            </w:r>
          </w:p>
        </w:tc>
        <w:tc>
          <w:tcPr>
            <w:vAlign w:val="center"/>
          </w:tcPr>
          <w:p>
            <w:r>
              <w:t>数量(个)</w:t>
            </w:r>
          </w:p>
        </w:tc>
        <w:tc>
          <w:tcPr>
            <w:vAlign w:val="center"/>
          </w:tcPr>
          <w:p>
            <w:r>
              <w:t>宽度(m)</w:t>
            </w:r>
          </w:p>
        </w:tc>
        <w:tc>
          <w:tcPr>
            <w:vAlign w:val="center"/>
          </w:tcPr>
          <w:p>
            <w:r>
              <w:t>高度(m)</w:t>
            </w:r>
          </w:p>
        </w:tc>
        <w:tc>
          <w:tcPr>
            <w:vAlign w:val="center"/>
          </w:tcPr>
          <w:p>
            <w:r>
              <w:t>面积(㎡)</w:t>
            </w:r>
          </w:p>
        </w:tc>
        <w:tc>
          <w:tcPr>
            <w:vAlign w:val="center"/>
          </w:tcPr>
          <w:p>
            <w:r>
              <w:t>幕墙插窗</w:t>
            </w:r>
          </w:p>
        </w:tc>
        <w:tc>
          <w:tcPr>
            <w:vAlign w:val="center"/>
          </w:tcPr>
          <w:p>
            <w:r>
              <w:t>宽度(m)</w:t>
            </w:r>
          </w:p>
        </w:tc>
        <w:tc>
          <w:tcPr>
            <w:vAlign w:val="center"/>
          </w:tcPr>
          <w:p>
            <w:r>
              <w:t>高度(m)</w:t>
            </w:r>
          </w:p>
        </w:tc>
        <w:tc>
          <w:tcPr>
            <w:vAlign w:val="center"/>
          </w:tcPr>
          <w:p>
            <w:r>
              <w:t>数量(个)</w:t>
            </w:r>
          </w:p>
        </w:tc>
        <w:tc>
          <w:tcPr>
            <w:vAlign w:val="center"/>
          </w:tcPr>
          <w:p>
            <w:r>
              <w:t>面积(㎡)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7.70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34.65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7.70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34.65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16.65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33.30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33.30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22.50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49.50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33.30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7.70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34.65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18.00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7.70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34.65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7.70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34.65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13.50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8.30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37.35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30.15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8.30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37.35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7.70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34.65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643.95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bookmarkEnd w:id="28"/>
    </w:tbl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统计计算表"/>
      <w:bookmarkEnd w:id="29"/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  <w:sectPr>
          <w:headerReference r:id="rId5" w:type="default"/>
          <w:footerReference r:id="rId6" w:type="default"/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kern w:val="2"/>
        </w:rPr>
      </w:pPr>
      <w:bookmarkStart w:id="30" w:name="_Toc420663553"/>
      <w:r>
        <w:rPr>
          <w:rFonts w:hint="eastAsia"/>
          <w:kern w:val="2"/>
        </w:rPr>
        <w:t>结论</w:t>
      </w:r>
      <w:bookmarkEnd w:id="30"/>
    </w:p>
    <w:p>
      <w:pPr>
        <w:pStyle w:val="3"/>
        <w:ind w:left="360" w:firstLine="0" w:firstLineChars="0"/>
        <w:rPr>
          <w:rFonts w:ascii="宋体" w:hAnsi="宋体"/>
        </w:rPr>
      </w:pPr>
      <w:r>
        <w:rPr>
          <w:rFonts w:ascii="宋体" w:hAnsi="宋体"/>
        </w:rPr>
        <w:t>建筑外窗可开启面积比例为50.0%，玻璃幕墙可开启面积比例为0.0%，综合5.2.2中条款1、条款2和条款3的规定，该项目建筑的总得分为3.0分。</w:t>
      </w:r>
    </w:p>
    <w:p>
      <w:pPr>
        <w:pStyle w:val="3"/>
        <w:ind w:left="360" w:firstLine="0" w:firstLineChars="0"/>
        <w:rPr>
          <w:rFonts w:ascii="宋体" w:hAnsi="宋体"/>
        </w:rPr>
      </w:pPr>
    </w:p>
    <w:p>
      <w:pPr>
        <w:pStyle w:val="3"/>
        <w:ind w:firstLine="0" w:firstLineChars="0"/>
        <w:rPr>
          <w:rFonts w:ascii="宋体" w:hAnsi="宋体"/>
        </w:rPr>
      </w:pPr>
      <w:bookmarkStart w:id="31" w:name="门窗详图"/>
      <w:r>
        <w:rPr>
          <w:rFonts w:hint="eastAsia" w:ascii="宋体" w:hAnsi="宋体"/>
        </w:rPr>
        <w:t xml:space="preserve"> </w:t>
      </w:r>
      <w:bookmarkEnd w:id="31"/>
    </w:p>
    <w:p/>
    <w:p>
      <w:pPr>
        <w:pStyle w:val="2"/>
      </w:pPr>
      <w:r>
        <w:t>附录：门窗详图</w:t>
      </w:r>
    </w:p>
    <w:p>
      <w:r>
        <w:t>说明：红色线框表示窗洞，绿色线框表示开启扇。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C0615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C1215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0.90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C1815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C2415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1.35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M0921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M1521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0.95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sectPr>
      <w:headerReference r:id="rId7" w:type="default"/>
      <w:footerReference r:id="rId8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5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5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5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hint="eastAsia" w:asciiTheme="minorEastAsia" w:hAnsiTheme="minorEastAsia" w:eastAsiaTheme="minorEastAsia"/>
              <w:sz w:val="20"/>
              <w:szCs w:val="21"/>
            </w:rPr>
            <w:t>V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ENT2020</w:t>
          </w:r>
        </w:p>
      </w:tc>
    </w:tr>
  </w:tbl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725"/>
      <w:gridCol w:w="4726"/>
      <w:gridCol w:w="472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67" w:type="pct"/>
        </w:tcPr>
        <w:p>
          <w:pPr>
            <w:pStyle w:val="15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1667" w:type="pct"/>
        </w:tcPr>
        <w:p>
          <w:pPr>
            <w:pStyle w:val="15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>
          <w:pPr>
            <w:pStyle w:val="15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hint="eastAsia" w:asciiTheme="minorEastAsia" w:hAnsiTheme="minorEastAsia" w:eastAsiaTheme="minorEastAsia"/>
              <w:sz w:val="20"/>
              <w:szCs w:val="21"/>
            </w:rPr>
            <w:t>V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ENT2020</w:t>
          </w:r>
        </w:p>
      </w:tc>
    </w:tr>
  </w:tbl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96"/>
      <w:gridCol w:w="3096"/>
      <w:gridCol w:w="309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67" w:type="pct"/>
        </w:tcPr>
        <w:p>
          <w:pPr>
            <w:pStyle w:val="15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1667" w:type="pct"/>
        </w:tcPr>
        <w:p>
          <w:pPr>
            <w:pStyle w:val="15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>
          <w:pPr>
            <w:pStyle w:val="15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hint="eastAsia" w:asciiTheme="minorEastAsia" w:hAnsiTheme="minorEastAsia" w:eastAsiaTheme="minorEastAsia"/>
              <w:sz w:val="20"/>
              <w:szCs w:val="21"/>
            </w:rPr>
            <w:t>V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ENT2020</w:t>
          </w:r>
        </w:p>
      </w:tc>
    </w:tr>
  </w:tbl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28"/>
        <w:szCs w:val="28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62913883"/>
    <w:rsid w:val="001915A3"/>
    <w:rsid w:val="00217F62"/>
    <w:rsid w:val="00A906D8"/>
    <w:rsid w:val="00AB5A74"/>
    <w:rsid w:val="00F071AE"/>
    <w:rsid w:val="629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="宋体" w:cs="Times New Roman"/>
      <w:sz w:val="18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 w:val="21"/>
      <w:szCs w:val="24"/>
      <w:lang w:val="en-US"/>
    </w:rPr>
  </w:style>
  <w:style w:type="paragraph" w:styleId="14">
    <w:name w:val="Balloon Text"/>
    <w:basedOn w:val="1"/>
    <w:link w:val="25"/>
    <w:uiPriority w:val="0"/>
    <w:pPr>
      <w:spacing w:line="240" w:lineRule="auto"/>
    </w:pPr>
    <w:rPr>
      <w:szCs w:val="18"/>
    </w:rPr>
  </w:style>
  <w:style w:type="paragraph" w:styleId="15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 w:val="21"/>
      <w:szCs w:val="24"/>
      <w:lang w:val="en-US"/>
    </w:rPr>
  </w:style>
  <w:style w:type="paragraph" w:styleId="18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 w:val="21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4">
    <w:name w:val="TOC Heading"/>
    <w:basedOn w:val="2"/>
    <w:next w:val="1"/>
    <w:qFormat/>
    <w:uiPriority w:val="3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character" w:customStyle="1" w:styleId="25">
    <w:name w:val="批注框文本 Char"/>
    <w:link w:val="14"/>
    <w:uiPriority w:val="0"/>
    <w:rPr>
      <w:sz w:val="18"/>
      <w:szCs w:val="18"/>
      <w:lang w:val="en-GB"/>
    </w:rPr>
  </w:style>
  <w:style w:type="character" w:styleId="26">
    <w:name w:val="Placeholder Text"/>
    <w:semiHidden/>
    <w:uiPriority w:val="99"/>
    <w:rPr>
      <w:color w:val="808080"/>
    </w:rPr>
  </w:style>
  <w:style w:type="character" w:customStyle="1" w:styleId="27">
    <w:name w:val="页脚 Char"/>
    <w:link w:val="15"/>
    <w:uiPriority w:val="99"/>
    <w:rPr>
      <w:sz w:val="18"/>
      <w:szCs w:val="18"/>
      <w:lang w:val="en-GB"/>
    </w:rPr>
  </w:style>
  <w:style w:type="character" w:customStyle="1" w:styleId="28">
    <w:name w:val="页眉 Char"/>
    <w:link w:val="16"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17.wmf"/><Relationship Id="rId32" Type="http://schemas.openxmlformats.org/officeDocument/2006/relationships/image" Target="media/image16.wmf"/><Relationship Id="rId31" Type="http://schemas.openxmlformats.org/officeDocument/2006/relationships/image" Target="media/image15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image" Target="media/image12.wmf"/><Relationship Id="rId27" Type="http://schemas.openxmlformats.org/officeDocument/2006/relationships/image" Target="media/image11.png"/><Relationship Id="rId26" Type="http://schemas.openxmlformats.org/officeDocument/2006/relationships/image" Target="media/image10.wmf"/><Relationship Id="rId25" Type="http://schemas.openxmlformats.org/officeDocument/2006/relationships/oleObject" Target="embeddings/oleObject8.bin"/><Relationship Id="rId24" Type="http://schemas.openxmlformats.org/officeDocument/2006/relationships/image" Target="media/image9.wmf"/><Relationship Id="rId23" Type="http://schemas.openxmlformats.org/officeDocument/2006/relationships/oleObject" Target="embeddings/oleObject7.bin"/><Relationship Id="rId22" Type="http://schemas.openxmlformats.org/officeDocument/2006/relationships/image" Target="media/image8.wmf"/><Relationship Id="rId21" Type="http://schemas.openxmlformats.org/officeDocument/2006/relationships/oleObject" Target="embeddings/oleObject6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7</Pages>
  <Words>1652</Words>
  <Characters>2428</Characters>
  <Lines>62</Lines>
  <Paragraphs>66</Paragraphs>
  <TotalTime>40</TotalTime>
  <ScaleCrop>false</ScaleCrop>
  <LinksUpToDate>false</LinksUpToDate>
  <CharactersWithSpaces>2477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2022-01-05T12:20:00Z</dcterms:created>
  <dc:creator>dell</dc:creator>
  <cp:lastModifiedBy>dell</cp:lastModifiedBy>
  <dcterms:modified xsi:type="dcterms:W3CDTF">2022-01-05T12:23:31Z</dcterms:modified>
  <dc:title>建筑可开启面积比例计算书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  <property fmtid="{D5CDD505-2E9C-101B-9397-08002B2CF9AE}" pid="4" name="KSOProductBuildVer">
    <vt:lpwstr>2052-11.3.0.9228</vt:lpwstr>
  </property>
</Properties>
</file>