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南昌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2021年12月30日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T18059563202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"_Toc16494766"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_Toc16494766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"_Toc16494767"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_Toc16494767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"_Toc16494768"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_Toc16494768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"_Toc16494769"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_Toc16494769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"_Toc16494770"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_Toc16494770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"_Toc16494771" </w:instrText>
      </w:r>
      <w:r>
        <w:fldChar w:fldCharType="separate"/>
      </w:r>
      <w:r>
        <w:rPr>
          <w:rStyle w:val="25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begin"/>
      </w:r>
      <w:r>
        <w:instrText xml:space="preserve"> PAGEREF _Toc16494771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"_Toc16494772"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_Toc16494772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"_Toc16494773"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_Toc16494773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"_Toc16494774"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_Toc16494774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"_Toc16494775"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_Toc16494775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"_Toc16494776"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_Toc16494776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"_Toc16494777"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_Toc16494777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"_Toc16494778"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_Toc16494778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"_Toc16494779" </w:instrText>
      </w:r>
      <w:r>
        <w:fldChar w:fldCharType="separate"/>
      </w:r>
      <w:r>
        <w:rPr>
          <w:rStyle w:val="25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_Toc16494779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"_Toc16494780" </w:instrText>
      </w:r>
      <w:r>
        <w:fldChar w:fldCharType="separate"/>
      </w:r>
      <w:r>
        <w:rPr>
          <w:rStyle w:val="25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_Toc16494780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"_Toc16494781" </w:instrText>
      </w:r>
      <w:r>
        <w:fldChar w:fldCharType="separate"/>
      </w:r>
      <w:r>
        <w:rPr>
          <w:rStyle w:val="25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_Toc16494781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"_Toc16494782" </w:instrText>
      </w:r>
      <w:r>
        <w:fldChar w:fldCharType="separate"/>
      </w:r>
      <w:r>
        <w:rPr>
          <w:rStyle w:val="25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_Toc16494782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"_Toc16494783"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begin"/>
      </w:r>
      <w:r>
        <w:instrText xml:space="preserve"> PAGEREF _Toc16494783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"_Toc16494784"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平均热岛强度</w:t>
      </w:r>
      <w:r>
        <w:tab/>
      </w:r>
      <w:r>
        <w:fldChar w:fldCharType="begin"/>
      </w:r>
      <w:r>
        <w:instrText xml:space="preserve"> PAGEREF _Toc16494784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"_Toc16494785"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湿球黑球温度</w:t>
      </w:r>
      <w:r>
        <w:tab/>
      </w:r>
      <w:r>
        <w:fldChar w:fldCharType="begin"/>
      </w:r>
      <w:r>
        <w:instrText xml:space="preserve"> PAGEREF _Toc16494785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"_Toc16494786"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结论</w:t>
      </w:r>
      <w:r>
        <w:tab/>
      </w:r>
      <w:r>
        <w:fldChar w:fldCharType="begin"/>
      </w:r>
      <w:r>
        <w:instrText xml:space="preserve"> PAGEREF _Toc16494786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6494766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南昌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28.67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115.92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bookmarkEnd w:id="23"/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>
      <w:pPr>
        <w:pStyle w:val="2"/>
      </w:pPr>
      <w:bookmarkStart w:id="25" w:name="_Toc16494768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6494769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6494770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16494772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6494773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西南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656.00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399.00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248.00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136.00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6494774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6494775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56823.97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50348.71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2813.01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35989.96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13850.06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2978.71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5253.40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17339.35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1461.85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39897.16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r>
              <w:t>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11.15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16494776"/>
      <w:r>
        <w:rPr>
          <w:rFonts w:hint="eastAsia"/>
        </w:rPr>
        <w:t>规定性设计指标</w:t>
      </w:r>
      <w:bookmarkEnd w:id="35"/>
    </w:p>
    <w:p>
      <w:pPr>
        <w:pStyle w:val="4"/>
      </w:pPr>
      <w:bookmarkStart w:id="36" w:name="_Toc16494777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1774</w:t>
            </w:r>
            <w:r>
              <w:t>.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vAlign w:val="center"/>
          </w:tcPr>
          <w:p>
            <w:r>
              <w:t>2452.69</w:t>
            </w:r>
          </w:p>
        </w:tc>
        <w:tc>
          <w:tcPr>
            <w:vAlign w:val="center"/>
          </w:tcPr>
          <w:p>
            <w:r>
              <w:t>60.00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1774</w:t>
            </w:r>
            <w:r>
              <w:t>.2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vAlign w:val="center"/>
          </w:tcPr>
          <w:p>
            <w:r>
              <w:t>2452.69</w:t>
            </w:r>
          </w:p>
        </w:tc>
        <w:tc>
          <w:tcPr>
            <w:vAlign w:val="center"/>
          </w:tcPr>
          <w:p>
            <w:r>
              <w:t>60.00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982.40</w:t>
            </w:r>
          </w:p>
        </w:tc>
        <w:tc>
          <w:tcPr>
            <w:vAlign w:val="center"/>
          </w:tcPr>
          <w:p>
            <w:r>
              <w:t>1261.92</w:t>
            </w:r>
          </w:p>
        </w:tc>
        <w:tc>
          <w:tcPr>
            <w:vAlign w:val="center"/>
          </w:tcPr>
          <w:p>
            <w:r>
              <w:t>50.00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7785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1163</w:t>
            </w:r>
            <w:r>
              <w:t>.</w:t>
            </w: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vAlign w:val="center"/>
          </w:tcPr>
          <w:p>
            <w:r>
              <w:t>1498.37</w:t>
            </w:r>
          </w:p>
        </w:tc>
        <w:tc>
          <w:tcPr>
            <w:vAlign w:val="center"/>
          </w:tcPr>
          <w:p>
            <w:r>
              <w:t>60.00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606.33</w:t>
            </w:r>
          </w:p>
        </w:tc>
        <w:tc>
          <w:tcPr>
            <w:vAlign w:val="center"/>
          </w:tcPr>
          <w:p>
            <w:r>
              <w:t>770.92</w:t>
            </w:r>
          </w:p>
        </w:tc>
        <w:tc>
          <w:tcPr>
            <w:vAlign w:val="center"/>
          </w:tcPr>
          <w:p>
            <w:r>
              <w:t>50.00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7865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1163</w:t>
            </w:r>
            <w:r>
              <w:t>.</w:t>
            </w: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vAlign w:val="center"/>
          </w:tcPr>
          <w:p>
            <w:r>
              <w:t>1498.37</w:t>
            </w:r>
          </w:p>
        </w:tc>
        <w:tc>
          <w:tcPr>
            <w:vAlign w:val="center"/>
          </w:tcPr>
          <w:p>
            <w:r>
              <w:t>60.00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1163.32</w:t>
            </w:r>
          </w:p>
        </w:tc>
        <w:tc>
          <w:tcPr>
            <w:vAlign w:val="center"/>
          </w:tcPr>
          <w:p>
            <w:r>
              <w:t>1498.37</w:t>
            </w:r>
          </w:p>
        </w:tc>
        <w:tc>
          <w:tcPr>
            <w:vAlign w:val="center"/>
          </w:tcPr>
          <w:p>
            <w:r>
              <w:t>60.00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606.33</w:t>
            </w:r>
          </w:p>
        </w:tc>
        <w:tc>
          <w:tcPr>
            <w:vAlign w:val="center"/>
          </w:tcPr>
          <w:p>
            <w:r>
              <w:t>770.92</w:t>
            </w:r>
          </w:p>
        </w:tc>
        <w:tc>
          <w:tcPr>
            <w:vAlign w:val="center"/>
          </w:tcPr>
          <w:p>
            <w:r>
              <w:t>50.00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7865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751.79</w:t>
            </w:r>
          </w:p>
        </w:tc>
        <w:tc>
          <w:tcPr>
            <w:vAlign w:val="center"/>
          </w:tcPr>
          <w:p>
            <w:r>
              <w:t>1045.31</w:t>
            </w:r>
          </w:p>
        </w:tc>
        <w:tc>
          <w:tcPr>
            <w:vAlign w:val="center"/>
          </w:tcPr>
          <w:p>
            <w:r>
              <w:t>140.00</w:t>
            </w:r>
          </w:p>
        </w:tc>
        <w:tc>
          <w:tcPr>
            <w:vAlign w:val="center"/>
          </w:tcPr>
          <w:p>
            <w:r>
              <w:t>0.7192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  <w:bookmarkStart w:id="55" w:name="_GoBack"/>
            <w:bookmarkEnd w:id="55"/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16494778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799.7</w:t>
            </w:r>
          </w:p>
        </w:tc>
        <w:tc>
          <w:tcPr>
            <w:vAlign w:val="center"/>
          </w:tcPr>
          <w:p>
            <w:r>
              <w:t>2813.0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1094.2</w:t>
            </w:r>
          </w:p>
        </w:tc>
        <w:tc>
          <w:tcPr>
            <w:vAlign w:val="center"/>
          </w:tcPr>
          <w:p>
            <w:r>
              <w:t>1248.0</w:t>
            </w:r>
          </w:p>
        </w:tc>
        <w:tc>
          <w:tcPr>
            <w:vAlign w:val="center"/>
          </w:tcPr>
          <w:p>
            <w:r>
              <w:t>88</w:t>
            </w:r>
          </w:p>
        </w:tc>
        <w:tc>
          <w:tcPr>
            <w:vAlign w:val="center"/>
          </w:tcPr>
          <w:p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18717.7</w:t>
            </w:r>
          </w:p>
        </w:tc>
        <w:tc>
          <w:tcPr>
            <w:vAlign w:val="center"/>
          </w:tcPr>
          <w:p>
            <w:r>
              <w:t>35990.0</w:t>
            </w:r>
          </w:p>
        </w:tc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4"/>
      </w:pPr>
      <w:bookmarkStart w:id="40" w:name="_Toc16494779"/>
      <w:r>
        <w:rPr>
          <w:rFonts w:hint="eastAsia"/>
        </w:rPr>
        <w:t>底层通风架空率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9.1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22.9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22.9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22.9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3367.7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底层通风架空率"/>
      <w:bookmarkEnd w:id="41"/>
    </w:p>
    <w:p>
      <w:pPr>
        <w:pStyle w:val="4"/>
      </w:pPr>
      <w:bookmarkStart w:id="42" w:name="_Toc16494780"/>
      <w:r>
        <w:rPr>
          <w:rFonts w:hint="eastAsia"/>
        </w:rPr>
        <w:t>绿化遮阳体叶面积指数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17340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绿化遮阳体叶面积指数"/>
      <w:bookmarkEnd w:id="43"/>
    </w:p>
    <w:p>
      <w:pPr>
        <w:pStyle w:val="4"/>
      </w:pPr>
      <w:bookmarkStart w:id="44" w:name="_Toc16494781"/>
      <w:r>
        <w:rPr>
          <w:rFonts w:hint="eastAsia"/>
        </w:rPr>
        <w:t>渗透蒸发指标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2813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2.88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1248</w:t>
            </w:r>
          </w:p>
        </w:tc>
        <w:tc>
          <w:tcPr>
            <w:vAlign w:val="center"/>
          </w:tcPr>
          <w:p>
            <w:r>
              <w:t>0.031</w:t>
            </w:r>
          </w:p>
        </w:tc>
        <w:tc>
          <w:tcPr>
            <w:vAlign w:val="center"/>
          </w:tcPr>
          <w:p>
            <w:r>
              <w:t>5.28</w:t>
            </w:r>
          </w:p>
        </w:tc>
        <w:tc>
          <w:tcPr>
            <w:vAlign w:val="center"/>
          </w:tcPr>
          <w:p>
            <w:r>
              <w:t>1.16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35990</w:t>
            </w:r>
          </w:p>
        </w:tc>
        <w:tc>
          <w:tcPr>
            <w:vAlign w:val="center"/>
          </w:tcPr>
          <w:p>
            <w:r>
              <w:t>0.899</w:t>
            </w:r>
          </w:p>
        </w:tc>
        <w:tc>
          <w:tcPr>
            <w:vAlign w:val="center"/>
          </w:tcPr>
          <w:p>
            <w:r>
              <w:t>4.09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40051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渗透蒸发指标"/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88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1.32</w:t>
            </w:r>
          </w:p>
        </w:tc>
        <w:tc>
          <w:tcPr>
            <w:vAlign w:val="center"/>
          </w:tcPr>
          <w:p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6" w:name="_Toc16494782"/>
      <w:r>
        <w:rPr>
          <w:rFonts w:hint="eastAsia"/>
        </w:rPr>
        <w:t>屋面绿化率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477.8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239.5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3367.7</w:t>
            </w:r>
          </w:p>
        </w:tc>
        <w:tc>
          <w:tcPr>
            <w:vAlign w:val="center"/>
          </w:tcPr>
          <w:p>
            <w:r>
              <w:t>2148.4</w:t>
            </w:r>
          </w:p>
        </w:tc>
        <w:tc>
          <w:tcPr>
            <w:vAlign w:val="center"/>
          </w:tcPr>
          <w:p>
            <w:r>
              <w:t>3367.7</w:t>
            </w:r>
          </w:p>
        </w:tc>
        <w:tc>
          <w:tcPr>
            <w:vAlign w:val="center"/>
          </w:tcPr>
          <w:p>
            <w:r>
              <w:t>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6475.3</w:t>
            </w:r>
          </w:p>
        </w:tc>
        <w:tc>
          <w:tcPr>
            <w:vAlign w:val="center"/>
          </w:tcPr>
          <w:p>
            <w:r>
              <w:t>5256.0</w:t>
            </w:r>
          </w:p>
        </w:tc>
        <w:tc>
          <w:tcPr>
            <w:vAlign w:val="center"/>
          </w:tcPr>
          <w:p>
            <w:r>
              <w:t>6475.3</w:t>
            </w:r>
          </w:p>
        </w:tc>
        <w:tc>
          <w:tcPr>
            <w:vAlign w:val="center"/>
          </w:tcPr>
          <w:p>
            <w:r>
              <w:t>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7" w:name="屋面绿化率"/>
      <w:bookmarkEnd w:id="47"/>
    </w:p>
    <w:p>
      <w:pPr>
        <w:pStyle w:val="2"/>
      </w:pPr>
      <w:bookmarkStart w:id="48" w:name="_Toc16494786"/>
      <w:r>
        <w:rPr>
          <w:rFonts w:hint="eastAsia"/>
        </w:rPr>
        <w:t>结论</w:t>
      </w:r>
      <w:bookmarkEnd w:id="4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1"/>
                <w:lang w:val="en-GB" w:eastAsia="zh-CN" w:bidi="ar-SA"/>
              </w:rPr>
            </w:pPr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活动场地遮阳覆盖率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1" w:name="底层通风架空率结论"/>
            <w: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1"/>
                <w:lang w:val="en-GB" w:eastAsia="zh-CN" w:bidi="ar-SA"/>
              </w:rPr>
            </w:pPr>
            <w:r>
              <w:rPr>
                <w:rFonts w:hint="eastAsia"/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5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0AF126AD"/>
    <w:rsid w:val="2F372ABA"/>
    <w:rsid w:val="3F8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Company>ths</Company>
  <Pages>5</Pages>
  <Words>429</Words>
  <Characters>2451</Characters>
  <Lines>20</Lines>
  <Paragraphs>5</Paragraphs>
  <TotalTime>0</TotalTime>
  <ScaleCrop>false</ScaleCrop>
  <LinksUpToDate>false</LinksUpToDate>
  <CharactersWithSpaces>2875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2020-03-23T09:11:00Z</dcterms:created>
  <dc:creator>human</dc:creator>
  <cp:lastModifiedBy>Sweet. imp</cp:lastModifiedBy>
  <cp:lastPrinted>2411-12-31T16:00:00Z</cp:lastPrinted>
  <dcterms:modified xsi:type="dcterms:W3CDTF">2021-12-30T14:19:00Z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881A5D063B344687BDB61B7BE4BD44EE</vt:lpwstr>
  </property>
</Properties>
</file>