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住区热环境设计报告书</w:t>
      </w:r>
    </w:p>
    <w:p>
      <w:pPr>
        <w:pStyle w:val="19"/>
        <w:rPr>
          <w:lang w:val="en-US"/>
        </w:rPr>
      </w:pPr>
      <w:r>
        <w:rPr>
          <w:rFonts w:hint="eastAsia"/>
          <w:lang w:val="en-US"/>
        </w:rPr>
        <w:t>（规定</w:t>
      </w:r>
      <w:r>
        <w:rPr>
          <w:lang w:val="en-US"/>
        </w:rPr>
        <w:t>性设计</w:t>
      </w:r>
      <w:r>
        <w:rPr>
          <w:rFonts w:hint="eastAsia"/>
          <w:lang w:val="en-US"/>
        </w:rPr>
        <w:t>）</w:t>
      </w: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2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0" w:name="工程名称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1" w:name="地理位置"/>
            <w:r>
              <w:t>深圳</w:t>
            </w:r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2" w:name="设计编号"/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3" w:name="建设单位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4" w:name="设计单位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定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5" w:name="报告日期"/>
            <w:bookmarkEnd w:id="5"/>
          </w:p>
        </w:tc>
      </w:tr>
    </w:tbl>
    <w:p>
      <w:pPr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6" w:name="二维码"/>
      <w:bookmarkEnd w:id="6"/>
      <w:r>
        <w:drawing>
          <wp:inline distT="0" distB="0" distL="0" distR="0">
            <wp:extent cx="1514475" cy="151447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20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hint="eastAsia" w:ascii="宋体" w:hAnsi="宋体"/>
              </w:rPr>
              <w:t>住区热环境TERA2020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t>20200505(SP1)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t>T13360941688</w:t>
            </w:r>
            <w:bookmarkEnd w:id="9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bookmarkStart w:id="10" w:name="目录"/>
      <w:bookmarkEnd w:id="10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fldChar w:fldCharType="begin"/>
      </w:r>
      <w:r>
        <w:instrText xml:space="preserve"> HYPERLINK \l "_Toc16494766" </w:instrText>
      </w:r>
      <w:r>
        <w:fldChar w:fldCharType="separate"/>
      </w:r>
      <w:r>
        <w:rPr>
          <w:rStyle w:val="25"/>
        </w:rPr>
        <w:t>1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住区概况</w:t>
      </w:r>
      <w:r>
        <w:tab/>
      </w:r>
      <w:r>
        <w:fldChar w:fldCharType="begin"/>
      </w:r>
      <w:r>
        <w:instrText xml:space="preserve"> PAGEREF _Toc16494766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"_Toc16494767" </w:instrText>
      </w:r>
      <w:r>
        <w:fldChar w:fldCharType="separate"/>
      </w:r>
      <w:r>
        <w:rPr>
          <w:rStyle w:val="25"/>
        </w:rPr>
        <w:t>2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设计依据</w:t>
      </w:r>
      <w:r>
        <w:tab/>
      </w:r>
      <w:r>
        <w:fldChar w:fldCharType="begin"/>
      </w:r>
      <w:r>
        <w:instrText xml:space="preserve"> PAGEREF _Toc16494767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"_Toc16494768" </w:instrText>
      </w:r>
      <w:r>
        <w:fldChar w:fldCharType="separate"/>
      </w:r>
      <w:r>
        <w:rPr>
          <w:rStyle w:val="25"/>
        </w:rPr>
        <w:t>3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计算规定</w:t>
      </w:r>
      <w:r>
        <w:tab/>
      </w:r>
      <w:r>
        <w:fldChar w:fldCharType="begin"/>
      </w:r>
      <w:r>
        <w:instrText xml:space="preserve"> PAGEREF _Toc16494768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"_Toc16494769" </w:instrText>
      </w:r>
      <w:r>
        <w:fldChar w:fldCharType="separate"/>
      </w:r>
      <w:r>
        <w:rPr>
          <w:rStyle w:val="25"/>
          <w:lang w:val="en-GB"/>
        </w:rPr>
        <w:t>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强制条文</w:t>
      </w:r>
      <w:r>
        <w:tab/>
      </w:r>
      <w:r>
        <w:fldChar w:fldCharType="begin"/>
      </w:r>
      <w:r>
        <w:instrText xml:space="preserve"> PAGEREF _Toc16494769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"_Toc16494770" </w:instrText>
      </w:r>
      <w:r>
        <w:fldChar w:fldCharType="separate"/>
      </w:r>
      <w:r>
        <w:rPr>
          <w:rStyle w:val="25"/>
          <w:lang w:val="en-GB"/>
        </w:rPr>
        <w:t>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规定性设计</w:t>
      </w:r>
      <w:r>
        <w:tab/>
      </w:r>
      <w:r>
        <w:fldChar w:fldCharType="begin"/>
      </w:r>
      <w:r>
        <w:instrText xml:space="preserve"> PAGEREF _Toc16494770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"_Toc16494771" </w:instrText>
      </w:r>
      <w:r>
        <w:fldChar w:fldCharType="separate"/>
      </w:r>
      <w:r>
        <w:rPr>
          <w:rStyle w:val="25"/>
          <w:lang w:val="en-GB"/>
        </w:rPr>
        <w:t>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评价性设计</w:t>
      </w:r>
      <w:r>
        <w:tab/>
      </w:r>
      <w:r>
        <w:fldChar w:fldCharType="begin"/>
      </w:r>
      <w:r>
        <w:instrText xml:space="preserve"> PAGEREF _Toc16494771 \h </w:instrText>
      </w:r>
      <w:r>
        <w:fldChar w:fldCharType="separate"/>
      </w:r>
      <w:r>
        <w:rPr>
          <w:rFonts w:hint="eastAsia"/>
          <w:b/>
          <w:bCs/>
        </w:rPr>
        <w:t>错误!未定义书签。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"_Toc16494772" </w:instrText>
      </w:r>
      <w:r>
        <w:fldChar w:fldCharType="separate"/>
      </w:r>
      <w:r>
        <w:rPr>
          <w:rStyle w:val="25"/>
        </w:rPr>
        <w:t>4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计算参数</w:t>
      </w:r>
      <w:r>
        <w:tab/>
      </w:r>
      <w:r>
        <w:fldChar w:fldCharType="begin"/>
      </w:r>
      <w:r>
        <w:instrText xml:space="preserve"> PAGEREF _Toc16494772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"_Toc16494773" </w:instrText>
      </w:r>
      <w:r>
        <w:fldChar w:fldCharType="separate"/>
      </w:r>
      <w:r>
        <w:rPr>
          <w:rStyle w:val="25"/>
          <w:lang w:val="en-GB"/>
        </w:rPr>
        <w:t>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典型气象日气象参数</w:t>
      </w:r>
      <w:r>
        <w:tab/>
      </w:r>
      <w:r>
        <w:fldChar w:fldCharType="begin"/>
      </w:r>
      <w:r>
        <w:instrText xml:space="preserve"> PAGEREF _Toc16494773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"_Toc16494774" </w:instrText>
      </w:r>
      <w:r>
        <w:fldChar w:fldCharType="separate"/>
      </w:r>
      <w:r>
        <w:rPr>
          <w:rStyle w:val="25"/>
          <w:lang w:val="en-GB"/>
        </w:rPr>
        <w:t>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渗透面夏季逐时蒸发量</w:t>
      </w:r>
      <w:r>
        <w:tab/>
      </w:r>
      <w:r>
        <w:fldChar w:fldCharType="begin"/>
      </w:r>
      <w:r>
        <w:instrText xml:space="preserve"> PAGEREF _Toc16494774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"_Toc16494775" </w:instrText>
      </w:r>
      <w:r>
        <w:fldChar w:fldCharType="separate"/>
      </w:r>
      <w:r>
        <w:rPr>
          <w:rStyle w:val="25"/>
        </w:rPr>
        <w:t>5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住区指标概览</w:t>
      </w:r>
      <w:r>
        <w:tab/>
      </w:r>
      <w:r>
        <w:fldChar w:fldCharType="begin"/>
      </w:r>
      <w:r>
        <w:instrText xml:space="preserve"> PAGEREF _Toc16494775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"_Toc16494776" </w:instrText>
      </w:r>
      <w:r>
        <w:fldChar w:fldCharType="separate"/>
      </w:r>
      <w:r>
        <w:rPr>
          <w:rStyle w:val="25"/>
        </w:rPr>
        <w:t>6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规定性设计指标</w:t>
      </w:r>
      <w:r>
        <w:tab/>
      </w:r>
      <w:r>
        <w:fldChar w:fldCharType="begin"/>
      </w:r>
      <w:r>
        <w:instrText xml:space="preserve"> PAGEREF _Toc16494776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"_Toc16494777" </w:instrText>
      </w:r>
      <w:r>
        <w:fldChar w:fldCharType="separate"/>
      </w:r>
      <w:r>
        <w:rPr>
          <w:rStyle w:val="25"/>
          <w:lang w:val="en-GB"/>
        </w:rPr>
        <w:t>6.1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平均迎风面积比</w:t>
      </w:r>
      <w:r>
        <w:tab/>
      </w:r>
      <w:r>
        <w:fldChar w:fldCharType="begin"/>
      </w:r>
      <w:r>
        <w:instrText xml:space="preserve"> PAGEREF _Toc16494777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"_Toc16494778" </w:instrText>
      </w:r>
      <w:r>
        <w:fldChar w:fldCharType="separate"/>
      </w:r>
      <w:r>
        <w:rPr>
          <w:rStyle w:val="25"/>
          <w:lang w:val="en-GB"/>
        </w:rPr>
        <w:t>6.2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活动场地遮阳覆盖率</w:t>
      </w:r>
      <w:r>
        <w:tab/>
      </w:r>
      <w:r>
        <w:fldChar w:fldCharType="begin"/>
      </w:r>
      <w:r>
        <w:instrText xml:space="preserve"> PAGEREF _Toc16494778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"_Toc16494779" </w:instrText>
      </w:r>
      <w:r>
        <w:fldChar w:fldCharType="separate"/>
      </w:r>
      <w:r>
        <w:rPr>
          <w:rStyle w:val="25"/>
          <w:lang w:val="en-GB"/>
        </w:rPr>
        <w:t>6.3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底层通风架空率</w:t>
      </w:r>
      <w:r>
        <w:tab/>
      </w:r>
      <w:r>
        <w:fldChar w:fldCharType="begin"/>
      </w:r>
      <w:r>
        <w:instrText xml:space="preserve"> PAGEREF _Toc16494779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"_Toc16494780" </w:instrText>
      </w:r>
      <w:r>
        <w:fldChar w:fldCharType="separate"/>
      </w:r>
      <w:r>
        <w:rPr>
          <w:rStyle w:val="25"/>
          <w:lang w:val="en-GB"/>
        </w:rPr>
        <w:t>6.4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绿化遮阳体叶面积指数</w:t>
      </w:r>
      <w:r>
        <w:tab/>
      </w:r>
      <w:r>
        <w:fldChar w:fldCharType="begin"/>
      </w:r>
      <w:r>
        <w:instrText xml:space="preserve"> PAGEREF _Toc16494780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"_Toc16494781" </w:instrText>
      </w:r>
      <w:r>
        <w:fldChar w:fldCharType="separate"/>
      </w:r>
      <w:r>
        <w:rPr>
          <w:rStyle w:val="25"/>
          <w:lang w:val="en-GB"/>
        </w:rPr>
        <w:t>6.5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渗透蒸发指标</w:t>
      </w:r>
      <w:r>
        <w:tab/>
      </w:r>
      <w:r>
        <w:fldChar w:fldCharType="begin"/>
      </w:r>
      <w:r>
        <w:instrText xml:space="preserve"> PAGEREF _Toc16494781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"_Toc16494782" </w:instrText>
      </w:r>
      <w:r>
        <w:fldChar w:fldCharType="separate"/>
      </w:r>
      <w:r>
        <w:rPr>
          <w:rStyle w:val="25"/>
          <w:lang w:val="en-GB"/>
        </w:rPr>
        <w:t>6.6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屋面绿化率</w:t>
      </w:r>
      <w:r>
        <w:tab/>
      </w:r>
      <w:r>
        <w:fldChar w:fldCharType="begin"/>
      </w:r>
      <w:r>
        <w:instrText xml:space="preserve"> PAGEREF _Toc16494782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"_Toc16494783" </w:instrText>
      </w:r>
      <w:r>
        <w:fldChar w:fldCharType="separate"/>
      </w:r>
      <w:r>
        <w:rPr>
          <w:rStyle w:val="25"/>
        </w:rPr>
        <w:t>7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评价性设计</w:t>
      </w:r>
      <w:r>
        <w:tab/>
      </w:r>
      <w:r>
        <w:fldChar w:fldCharType="begin"/>
      </w:r>
      <w:r>
        <w:instrText xml:space="preserve"> PAGEREF _Toc16494783 \h </w:instrText>
      </w:r>
      <w:r>
        <w:fldChar w:fldCharType="separate"/>
      </w:r>
      <w:r>
        <w:rPr>
          <w:rFonts w:hint="eastAsia"/>
          <w:b w:val="0"/>
          <w:bCs w:val="0"/>
        </w:rPr>
        <w:t>错误!未定义书签。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"_Toc16494784" </w:instrText>
      </w:r>
      <w:r>
        <w:fldChar w:fldCharType="separate"/>
      </w:r>
      <w:r>
        <w:rPr>
          <w:rStyle w:val="25"/>
          <w:lang w:val="en-GB"/>
        </w:rPr>
        <w:t>7.1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平均热岛强度</w:t>
      </w:r>
      <w:r>
        <w:tab/>
      </w:r>
      <w:r>
        <w:fldChar w:fldCharType="begin"/>
      </w:r>
      <w:r>
        <w:instrText xml:space="preserve"> PAGEREF _Toc16494784 \h </w:instrText>
      </w:r>
      <w:r>
        <w:fldChar w:fldCharType="separate"/>
      </w:r>
      <w:r>
        <w:rPr>
          <w:rFonts w:hint="eastAsia"/>
          <w:b/>
          <w:bCs/>
        </w:rPr>
        <w:t>错误!未定义书签。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"_Toc16494785" </w:instrText>
      </w:r>
      <w:r>
        <w:fldChar w:fldCharType="separate"/>
      </w:r>
      <w:r>
        <w:rPr>
          <w:rStyle w:val="25"/>
          <w:lang w:val="en-GB"/>
        </w:rPr>
        <w:t>7.2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5"/>
          <w:rFonts w:hint="eastAsia"/>
        </w:rPr>
        <w:t>湿球黑球温度</w:t>
      </w:r>
      <w:r>
        <w:tab/>
      </w:r>
      <w:r>
        <w:fldChar w:fldCharType="begin"/>
      </w:r>
      <w:r>
        <w:instrText xml:space="preserve"> PAGEREF _Toc16494785 \h </w:instrText>
      </w:r>
      <w:r>
        <w:fldChar w:fldCharType="separate"/>
      </w:r>
      <w:r>
        <w:rPr>
          <w:rFonts w:hint="eastAsia"/>
          <w:b/>
          <w:bCs/>
        </w:rPr>
        <w:t>错误!未定义书签。</w:t>
      </w:r>
      <w:r>
        <w:fldChar w:fldCharType="end"/>
      </w:r>
      <w:r>
        <w:fldChar w:fldCharType="end"/>
      </w:r>
    </w:p>
    <w:p>
      <w:pPr>
        <w:pStyle w:val="16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"_Toc16494786" </w:instrText>
      </w:r>
      <w:r>
        <w:fldChar w:fldCharType="separate"/>
      </w:r>
      <w:r>
        <w:rPr>
          <w:rStyle w:val="25"/>
        </w:rPr>
        <w:t>8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5"/>
          <w:rFonts w:hint="eastAsia"/>
        </w:rPr>
        <w:t>结论</w:t>
      </w:r>
      <w:r>
        <w:tab/>
      </w:r>
      <w:r>
        <w:fldChar w:fldCharType="begin"/>
      </w:r>
      <w:r>
        <w:instrText xml:space="preserve"> PAGEREF _Toc16494786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>
      <w:pPr>
        <w:pStyle w:val="16"/>
      </w:pPr>
    </w:p>
    <w:p>
      <w:pPr>
        <w:pStyle w:val="2"/>
      </w:pPr>
      <w:bookmarkStart w:id="11" w:name="_Toc16494766"/>
      <w:r>
        <w:rPr>
          <w:rFonts w:hint="eastAsia"/>
        </w:rPr>
        <w:t>住区概况</w:t>
      </w:r>
      <w:bookmarkEnd w:id="11"/>
    </w:p>
    <w:tbl>
      <w:tblPr>
        <w:tblStyle w:val="20"/>
        <w:tblpPr w:leftFromText="180" w:rightFromText="180" w:vertAnchor="text" w:horzAnchor="margin" w:tblpXSpec="center" w:tblpY="191"/>
        <w:tblW w:w="4885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3114"/>
        <w:gridCol w:w="31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tcBorders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工程名称1"/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tcBorders>
              <w:top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3" w:name="工程地点"/>
            <w:r>
              <w:t>深圳</w:t>
            </w:r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t>22.55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3" w:type="dxa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t>114.12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建筑气候区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气候区"/>
            <w:r>
              <w:t>IVA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主导风向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主导风向"/>
            <w:r>
              <w:t>东南</w:t>
            </w:r>
            <w:bookmarkEnd w:id="17"/>
          </w:p>
        </w:tc>
      </w:tr>
    </w:tbl>
    <w:p>
      <w:pPr>
        <w:pStyle w:val="3"/>
        <w:ind w:firstLine="420"/>
        <w:rPr>
          <w:lang w:val="en-US"/>
        </w:rPr>
      </w:pPr>
    </w:p>
    <w:p>
      <w:pPr>
        <w:pStyle w:val="3"/>
        <w:ind w:firstLine="420"/>
        <w:jc w:val="center"/>
        <w:rPr>
          <w:lang w:val="en-US"/>
        </w:rPr>
      </w:pPr>
      <w:bookmarkStart w:id="18" w:name="总图鸟瞰图"/>
      <w:bookmarkEnd w:id="18"/>
      <w:r>
        <w:drawing>
          <wp:inline distT="0" distB="0" distL="0" distR="0">
            <wp:extent cx="5667375" cy="3657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jc w:val="center"/>
        <w:rPr>
          <w:lang w:val="en-US"/>
        </w:rPr>
      </w:pPr>
      <w:bookmarkStart w:id="19" w:name="OLE_LINK3"/>
      <w:bookmarkStart w:id="20" w:name="OLE_LINK4"/>
      <w:r>
        <w:rPr>
          <w:rFonts w:hint="eastAsia" w:ascii="宋体" w:hAnsi="宋体"/>
        </w:rPr>
        <w:t>图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.1 场地鸟瞰图</w:t>
      </w:r>
      <w:bookmarkEnd w:id="19"/>
      <w:bookmarkEnd w:id="20"/>
    </w:p>
    <w:p>
      <w:pPr>
        <w:pStyle w:val="3"/>
        <w:ind w:firstLine="420"/>
        <w:rPr>
          <w:lang w:val="en-US"/>
        </w:rPr>
      </w:pPr>
    </w:p>
    <w:p>
      <w:pPr>
        <w:pStyle w:val="3"/>
        <w:ind w:firstLine="420"/>
        <w:jc w:val="center"/>
        <w:rPr>
          <w:lang w:val="en-US"/>
        </w:rPr>
      </w:pPr>
      <w:bookmarkStart w:id="21" w:name="总图平面图"/>
      <w:bookmarkEnd w:id="21"/>
      <w:r>
        <w:drawing>
          <wp:inline distT="0" distB="0" distL="0" distR="0">
            <wp:extent cx="5667375" cy="3657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jc w:val="center"/>
        <w:rPr>
          <w:lang w:val="en-US"/>
        </w:rPr>
      </w:pPr>
      <w:r>
        <w:rPr>
          <w:rFonts w:hint="eastAsia" w:ascii="宋体" w:hAnsi="宋体"/>
        </w:rPr>
        <w:t>图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 xml:space="preserve"> 场地平面图</w:t>
      </w:r>
    </w:p>
    <w:p>
      <w:pPr>
        <w:pStyle w:val="2"/>
      </w:pPr>
      <w:bookmarkStart w:id="22" w:name="_Toc16494767"/>
      <w:bookmarkStart w:id="23" w:name="TitleFormat"/>
      <w:r>
        <w:rPr>
          <w:rFonts w:hint="eastAsia"/>
        </w:rPr>
        <w:t>设计依据</w:t>
      </w:r>
      <w:bookmarkEnd w:id="22"/>
    </w:p>
    <w:bookmarkEnd w:id="23"/>
    <w:p>
      <w:pPr>
        <w:widowControl w:val="0"/>
        <w:jc w:val="both"/>
        <w:rPr>
          <w:kern w:val="2"/>
          <w:szCs w:val="24"/>
          <w:lang w:val="en-US"/>
        </w:rPr>
      </w:pPr>
      <w:bookmarkStart w:id="24" w:name="计算依据"/>
      <w:bookmarkEnd w:id="24"/>
      <w:r>
        <w:rPr>
          <w:rFonts w:hint="eastAsia"/>
          <w:kern w:val="2"/>
          <w:szCs w:val="24"/>
          <w:lang w:val="en-US"/>
        </w:rPr>
        <w:t>《城市居住区热环境设计标准》</w:t>
      </w:r>
      <w:r>
        <w:rPr>
          <w:kern w:val="2"/>
          <w:szCs w:val="24"/>
          <w:lang w:val="en-US"/>
        </w:rPr>
        <w:t>JGJ 286-2013</w:t>
      </w:r>
    </w:p>
    <w:p>
      <w:pPr>
        <w:pStyle w:val="2"/>
      </w:pPr>
      <w:bookmarkStart w:id="25" w:name="_Toc16494768"/>
      <w:r>
        <w:rPr>
          <w:rFonts w:hint="eastAsia"/>
        </w:rPr>
        <w:t>计算规定</w:t>
      </w:r>
      <w:bookmarkEnd w:id="25"/>
    </w:p>
    <w:p>
      <w:pPr>
        <w:pStyle w:val="3"/>
        <w:ind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hint="eastAsia"/>
          <w:kern w:val="2"/>
          <w:szCs w:val="24"/>
          <w:lang w:val="en-US"/>
        </w:rPr>
        <w:t>《城市居住区</w:t>
      </w:r>
      <w:r>
        <w:rPr>
          <w:rFonts w:hint="eastAsia" w:ascii="Arial" w:hAnsi="Arial" w:cs="Arial"/>
          <w:color w:val="333333"/>
          <w:shd w:val="clear" w:color="auto" w:fill="FFFFFF"/>
        </w:rPr>
        <w:t>热环境设计标准》的指标体系包括必须满足的强制性条文，在此基础上采用</w:t>
      </w:r>
      <w:r>
        <w:rPr>
          <w:rFonts w:ascii="Arial" w:hAnsi="Arial" w:cs="Arial"/>
          <w:color w:val="333333"/>
          <w:shd w:val="clear" w:color="auto" w:fill="FFFFFF"/>
        </w:rPr>
        <w:t>规定性设计或评价性设计。</w:t>
      </w:r>
    </w:p>
    <w:p>
      <w:pPr>
        <w:pStyle w:val="4"/>
      </w:pPr>
      <w:bookmarkStart w:id="26" w:name="_Toc16494769"/>
      <w:r>
        <w:rPr>
          <w:rFonts w:hint="eastAsia"/>
        </w:rPr>
        <w:t>强制条文</w:t>
      </w:r>
      <w:bookmarkEnd w:id="26"/>
    </w:p>
    <w:p>
      <w:pPr>
        <w:pStyle w:val="3"/>
        <w:spacing w:line="360" w:lineRule="auto"/>
        <w:ind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（1）</w:t>
      </w:r>
      <w:r>
        <w:rPr>
          <w:bCs/>
          <w:kern w:val="2"/>
          <w:sz w:val="24"/>
          <w:szCs w:val="24"/>
          <w:lang w:val="en-US"/>
        </w:rPr>
        <w:t>4</w:t>
      </w:r>
      <w:r>
        <w:rPr>
          <w:rFonts w:hint="eastAsia"/>
          <w:bCs/>
          <w:kern w:val="2"/>
          <w:sz w:val="24"/>
          <w:szCs w:val="24"/>
          <w:lang w:val="en-US"/>
        </w:rPr>
        <w:t>.1.1</w:t>
      </w:r>
      <w:r>
        <w:rPr>
          <w:bCs/>
          <w:kern w:val="2"/>
          <w:sz w:val="24"/>
          <w:szCs w:val="24"/>
          <w:lang w:val="en-US"/>
        </w:rPr>
        <w:t xml:space="preserve"> 居住区的夏季平均迎风面积比应符合表4．1．1的规定。</w:t>
      </w:r>
    </w:p>
    <w:p>
      <w:pPr>
        <w:pStyle w:val="18"/>
        <w:shd w:val="clear" w:color="auto" w:fill="FFFFFF"/>
        <w:spacing w:before="0" w:beforeAutospacing="0" w:after="0" w:afterAutospacing="0" w:line="360" w:lineRule="auto"/>
        <w:ind w:firstLine="420"/>
        <w:jc w:val="center"/>
        <w:rPr>
          <w:rStyle w:val="23"/>
          <w:rFonts w:ascii="Arial" w:hAnsi="Arial" w:cs="Arial"/>
          <w:color w:val="333333"/>
          <w:sz w:val="21"/>
          <w:szCs w:val="21"/>
        </w:rPr>
      </w:pPr>
      <w:r>
        <w:rPr>
          <w:rStyle w:val="23"/>
          <w:rFonts w:ascii="Arial" w:hAnsi="Arial" w:cs="Arial"/>
          <w:color w:val="333333"/>
          <w:sz w:val="21"/>
          <w:szCs w:val="21"/>
        </w:rPr>
        <w:t>表4．1．1 居住区的夏季平均迎风面积比（ζ</w:t>
      </w:r>
      <w:r>
        <w:rPr>
          <w:rStyle w:val="23"/>
          <w:rFonts w:ascii="Arial" w:hAnsi="Arial" w:cs="Arial"/>
          <w:color w:val="333333"/>
          <w:sz w:val="21"/>
          <w:szCs w:val="21"/>
          <w:vertAlign w:val="subscript"/>
        </w:rPr>
        <w:t>s</w:t>
      </w:r>
      <w:r>
        <w:rPr>
          <w:rStyle w:val="23"/>
          <w:rFonts w:ascii="Arial" w:hAnsi="Arial" w:cs="Arial"/>
          <w:color w:val="333333"/>
          <w:sz w:val="21"/>
          <w:szCs w:val="21"/>
        </w:rPr>
        <w:t>）限值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建筑气候区</w:t>
            </w:r>
          </w:p>
        </w:tc>
        <w:tc>
          <w:tcPr>
            <w:tcW w:w="2321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I、II、VI、VII</w:t>
            </w:r>
          </w:p>
        </w:tc>
        <w:tc>
          <w:tcPr>
            <w:tcW w:w="2322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III、V</w:t>
            </w:r>
          </w:p>
        </w:tc>
        <w:tc>
          <w:tcPr>
            <w:tcW w:w="2322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IV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平均迎风面积比</w:t>
            </w:r>
          </w:p>
        </w:tc>
        <w:tc>
          <w:tcPr>
            <w:tcW w:w="2321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0.85</w:t>
            </w:r>
          </w:p>
        </w:tc>
        <w:tc>
          <w:tcPr>
            <w:tcW w:w="2322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0.80</w:t>
            </w:r>
          </w:p>
        </w:tc>
        <w:tc>
          <w:tcPr>
            <w:tcW w:w="2322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0.70</w:t>
            </w:r>
          </w:p>
        </w:tc>
      </w:tr>
    </w:tbl>
    <w:p>
      <w:pPr>
        <w:pStyle w:val="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</w:rPr>
      </w:pPr>
    </w:p>
    <w:p>
      <w:pPr>
        <w:pStyle w:val="18"/>
        <w:shd w:val="clear" w:color="auto" w:fill="FFFFFF"/>
        <w:spacing w:before="0" w:beforeAutospacing="0" w:after="0" w:afterAutospacing="0"/>
        <w:ind w:firstLine="42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（2）</w:t>
      </w:r>
      <w:r>
        <w:rPr>
          <w:rFonts w:ascii="Times New Roman" w:hAnsi="Times New Roman" w:cs="Times New Roman"/>
          <w:bCs/>
          <w:kern w:val="2"/>
        </w:rPr>
        <w:t>4</w:t>
      </w:r>
      <w:r>
        <w:rPr>
          <w:rFonts w:hint="eastAsia" w:ascii="Times New Roman" w:hAnsi="Times New Roman" w:cs="Times New Roman"/>
          <w:bCs/>
          <w:kern w:val="2"/>
        </w:rPr>
        <w:t>.2.1</w:t>
      </w:r>
      <w:r>
        <w:rPr>
          <w:rFonts w:ascii="Times New Roman" w:hAnsi="Times New Roman" w:cs="Times New Roman"/>
          <w:bCs/>
          <w:kern w:val="2"/>
        </w:rPr>
        <w:t>居住区夏季户外活动场地应有遮阳，遮阳覆盖率不应小于表4．2．1的规定。</w:t>
      </w:r>
    </w:p>
    <w:p>
      <w:pPr>
        <w:pStyle w:val="18"/>
        <w:shd w:val="clear" w:color="auto" w:fill="FFFFFF"/>
        <w:spacing w:before="0" w:beforeAutospacing="0" w:after="0" w:afterAutospacing="0"/>
        <w:ind w:firstLine="420"/>
        <w:jc w:val="center"/>
        <w:rPr>
          <w:rStyle w:val="23"/>
          <w:rFonts w:ascii="Arial" w:hAnsi="Arial" w:cs="Arial"/>
          <w:color w:val="333333"/>
          <w:sz w:val="21"/>
          <w:szCs w:val="21"/>
        </w:rPr>
      </w:pPr>
      <w:r>
        <w:rPr>
          <w:rStyle w:val="23"/>
          <w:rFonts w:ascii="Arial" w:hAnsi="Arial" w:cs="Arial"/>
          <w:color w:val="333333"/>
          <w:sz w:val="21"/>
          <w:szCs w:val="21"/>
        </w:rPr>
        <w:t>表4．2．1 居住区活动场地的遮阳覆盖率限值(％)</w:t>
      </w:r>
    </w:p>
    <w:tbl>
      <w:tblPr>
        <w:tblStyle w:val="21"/>
        <w:tblW w:w="0" w:type="auto"/>
        <w:tblInd w:w="1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225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vMerge w:val="restart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场地</w:t>
            </w:r>
          </w:p>
        </w:tc>
        <w:tc>
          <w:tcPr>
            <w:tcW w:w="4526" w:type="dxa"/>
            <w:gridSpan w:val="2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建筑气候区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vMerge w:val="continue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225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I、II、VI、VII</w:t>
            </w:r>
          </w:p>
        </w:tc>
        <w:tc>
          <w:tcPr>
            <w:tcW w:w="226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1"/>
                <w:szCs w:val="21"/>
              </w:rPr>
              <w:t>III、IV、V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广场</w:t>
            </w:r>
          </w:p>
        </w:tc>
        <w:tc>
          <w:tcPr>
            <w:tcW w:w="225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10</w:t>
            </w:r>
          </w:p>
        </w:tc>
        <w:tc>
          <w:tcPr>
            <w:tcW w:w="226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游憩场</w:t>
            </w:r>
          </w:p>
        </w:tc>
        <w:tc>
          <w:tcPr>
            <w:tcW w:w="225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15</w:t>
            </w:r>
          </w:p>
        </w:tc>
        <w:tc>
          <w:tcPr>
            <w:tcW w:w="226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停车场</w:t>
            </w:r>
          </w:p>
        </w:tc>
        <w:tc>
          <w:tcPr>
            <w:tcW w:w="225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15</w:t>
            </w:r>
          </w:p>
        </w:tc>
        <w:tc>
          <w:tcPr>
            <w:tcW w:w="226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人行道</w:t>
            </w:r>
          </w:p>
        </w:tc>
        <w:tc>
          <w:tcPr>
            <w:tcW w:w="225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25</w:t>
            </w:r>
          </w:p>
        </w:tc>
        <w:tc>
          <w:tcPr>
            <w:tcW w:w="2268" w:type="dxa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50</w:t>
            </w:r>
          </w:p>
        </w:tc>
      </w:tr>
    </w:tbl>
    <w:p>
      <w:pPr>
        <w:pStyle w:val="4"/>
      </w:pPr>
      <w:bookmarkStart w:id="27" w:name="_Toc16494770"/>
      <w:r>
        <w:rPr>
          <w:rFonts w:hint="eastAsia"/>
        </w:rPr>
        <w:t>规定性设计</w:t>
      </w:r>
      <w:bookmarkEnd w:id="27"/>
    </w:p>
    <w:p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（1）4.1.4：在Ⅲ、Ⅳ、Ⅴ建筑气候区，当夏季主导风向上的建筑物迎风面宽度超过80m时，该建筑底层的通风架空率不应小于10％。</w:t>
      </w:r>
    </w:p>
    <w:p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（2）4.2.3：</w:t>
      </w:r>
      <w:r>
        <w:rPr>
          <w:rFonts w:ascii="Times New Roman" w:hAnsi="Times New Roman" w:cs="Times New Roman"/>
          <w:bCs/>
          <w:kern w:val="2"/>
        </w:rPr>
        <w:t>绿化遮阳体的叶面积指数不应小于3</w:t>
      </w:r>
      <w:r>
        <w:rPr>
          <w:rFonts w:hint="eastAsia" w:ascii="Times New Roman" w:hAnsi="Times New Roman" w:cs="Times New Roman"/>
          <w:bCs/>
          <w:kern w:val="2"/>
        </w:rPr>
        <w:t>.0</w:t>
      </w:r>
      <w:r>
        <w:rPr>
          <w:rFonts w:ascii="Times New Roman" w:hAnsi="Times New Roman" w:cs="Times New Roman"/>
          <w:bCs/>
          <w:kern w:val="2"/>
        </w:rPr>
        <w:t>。</w:t>
      </w:r>
    </w:p>
    <w:p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（3）4.3.1：居住区户外活动场地和人行道路地面应有雨水渗透与蒸发能力，渗透与蒸发指标不应低于表4.3.1的规定。</w:t>
      </w:r>
    </w:p>
    <w:p>
      <w:pPr>
        <w:pStyle w:val="18"/>
        <w:shd w:val="clear" w:color="auto" w:fill="FFFFFF"/>
        <w:spacing w:before="0" w:beforeAutospacing="0" w:after="0" w:afterAutospacing="0"/>
        <w:ind w:firstLine="420"/>
        <w:jc w:val="center"/>
        <w:rPr>
          <w:rStyle w:val="23"/>
          <w:rFonts w:ascii="Arial" w:hAnsi="Arial" w:cs="Arial"/>
          <w:color w:val="333333"/>
          <w:sz w:val="21"/>
          <w:szCs w:val="21"/>
        </w:rPr>
      </w:pPr>
      <w:r>
        <w:rPr>
          <w:rStyle w:val="23"/>
          <w:rFonts w:ascii="Arial" w:hAnsi="Arial" w:cs="Arial"/>
          <w:color w:val="333333"/>
          <w:sz w:val="21"/>
          <w:szCs w:val="21"/>
        </w:rPr>
        <w:t>表4．</w:t>
      </w:r>
      <w:r>
        <w:rPr>
          <w:rStyle w:val="23"/>
          <w:rFonts w:hint="eastAsia" w:ascii="Arial" w:hAnsi="Arial" w:cs="Arial"/>
          <w:color w:val="333333"/>
          <w:sz w:val="21"/>
          <w:szCs w:val="21"/>
        </w:rPr>
        <w:t>3</w:t>
      </w:r>
      <w:r>
        <w:rPr>
          <w:rStyle w:val="23"/>
          <w:rFonts w:ascii="Arial" w:hAnsi="Arial" w:cs="Arial"/>
          <w:color w:val="333333"/>
          <w:sz w:val="21"/>
          <w:szCs w:val="21"/>
        </w:rPr>
        <w:t>．1 居住区</w:t>
      </w:r>
      <w:r>
        <w:rPr>
          <w:rStyle w:val="23"/>
          <w:rFonts w:hint="eastAsia" w:ascii="Arial" w:hAnsi="Arial" w:cs="Arial"/>
          <w:color w:val="333333"/>
          <w:sz w:val="21"/>
          <w:szCs w:val="21"/>
        </w:rPr>
        <w:t>地面渗透蒸发指标</w:t>
      </w:r>
    </w:p>
    <w:tbl>
      <w:tblPr>
        <w:tblStyle w:val="20"/>
        <w:tblW w:w="974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456"/>
        <w:gridCol w:w="1439"/>
        <w:gridCol w:w="1278"/>
        <w:gridCol w:w="1536"/>
        <w:gridCol w:w="1505"/>
        <w:gridCol w:w="14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</w:t>
            </w:r>
          </w:p>
        </w:tc>
        <w:tc>
          <w:tcPr>
            <w:tcW w:w="417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I、II、VI、VII气候区</w:t>
            </w:r>
          </w:p>
        </w:tc>
        <w:tc>
          <w:tcPr>
            <w:tcW w:w="44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III、IV、V气候区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渗透面积比率β（%）</w:t>
            </w:r>
          </w:p>
        </w:tc>
        <w:tc>
          <w:tcPr>
            <w:tcW w:w="14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地面透水系数k（mm/s）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蒸发量m（kg/㎡·d）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渗透面积比率β（%）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地面透水系数k（mm/s）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蒸发量m（kg/㎡·d）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广场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40</w:t>
            </w:r>
          </w:p>
        </w:tc>
        <w:tc>
          <w:tcPr>
            <w:tcW w:w="143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1.6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>
              <w:rPr>
                <w:rFonts w:hint="eastAsia" w:ascii="微软雅黑" w:hAnsi="微软雅黑" w:cs="Arial" w:eastAsiaTheme="minorEastAsia"/>
                <w:color w:val="000000" w:themeColor="text1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1.3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游憩场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停车场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70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人行道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</w:tbl>
    <w:p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（4）居住区内建筑屋面的绿化面积不应低于可绿化屋面面积的50％。</w:t>
      </w:r>
    </w:p>
    <w:p>
      <w:pPr>
        <w:pStyle w:val="3"/>
        <w:ind w:firstLine="199" w:firstLineChars="95"/>
        <w:rPr>
          <w:lang w:val="en-US"/>
        </w:rPr>
      </w:pPr>
      <w:r>
        <w:rPr>
          <w:rFonts w:hint="eastAsia"/>
          <w:lang w:val="en-US"/>
        </w:rPr>
        <w:t>当以上4条有任意一条不能满足时候，需要进行评价性设计。</w:t>
      </w:r>
    </w:p>
    <w:p>
      <w:pPr>
        <w:pStyle w:val="2"/>
      </w:pPr>
      <w:bookmarkStart w:id="28" w:name="_Toc16494772"/>
      <w:r>
        <w:rPr>
          <w:rFonts w:hint="eastAsia"/>
        </w:rPr>
        <w:t>计算参数</w:t>
      </w:r>
      <w:bookmarkEnd w:id="28"/>
    </w:p>
    <w:p>
      <w:pPr>
        <w:pStyle w:val="4"/>
      </w:pPr>
      <w:bookmarkStart w:id="29" w:name="_Toc16494773"/>
      <w:r>
        <w:rPr>
          <w:rFonts w:hint="eastAsia"/>
        </w:rPr>
        <w:t>典型气象日气象参数</w:t>
      </w:r>
      <w:bookmarkEnd w:id="29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341"/>
        <w:gridCol w:w="1341"/>
        <w:gridCol w:w="1341"/>
        <w:gridCol w:w="1341"/>
        <w:gridCol w:w="1341"/>
        <w:gridCol w:w="134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干球温度</w:t>
            </w:r>
            <w:r>
              <w:br w:type="textWrapping"/>
            </w:r>
            <w:r>
              <w:t>(℃)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相对湿度(%)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水平总辐射照度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水平散射辐射照度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风速(m/s)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主导风向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</w:t>
            </w:r>
          </w:p>
        </w:tc>
        <w:tc>
          <w:tcPr>
            <w:vMerge w:val="restart"/>
            <w:vAlign w:val="center"/>
          </w:tcPr>
          <w:p>
            <w:pPr>
              <w:jc w:val="center"/>
            </w:pPr>
            <w:r>
              <w:t>东南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1.3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38.89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122.22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86.11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216.67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29.0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308.33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172.22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29.7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388.89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202.78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444.44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225.00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466.67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31.1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450.00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227.78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31.0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397.22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208.33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319.44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175.00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225.00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29.4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130.56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47.22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1.3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90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日平均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148.15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81.13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1.5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pStyle w:val="3"/>
        <w:ind w:firstLine="0" w:firstLineChars="0"/>
        <w:rPr>
          <w:lang w:val="en-US"/>
        </w:rPr>
      </w:pPr>
      <w:bookmarkStart w:id="30" w:name="气象参数"/>
      <w:bookmarkEnd w:id="30"/>
    </w:p>
    <w:p>
      <w:pPr>
        <w:pStyle w:val="4"/>
      </w:pPr>
      <w:bookmarkStart w:id="31" w:name="_Toc16494774"/>
      <w:r>
        <w:rPr>
          <w:rFonts w:hint="eastAsia"/>
        </w:rPr>
        <w:t>渗透面夏季逐时蒸发量</w:t>
      </w:r>
      <w:bookmarkEnd w:id="31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水面(kg/(㎡.h))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绿地(kg/(㎡.h))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渗透型硬地</w:t>
            </w:r>
            <w:r>
              <w:br w:type="textWrapping"/>
            </w:r>
            <w:r>
              <w:t>(kg/(㎡.h))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绿化屋面</w:t>
            </w:r>
            <w:r>
              <w:br w:type="textWrapping"/>
            </w:r>
            <w:r>
              <w:t>(kg/(㎡.h))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0.92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0.60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日累计(kg/(㎡.d))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6.03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1.30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4.80</w:t>
            </w:r>
          </w:p>
        </w:tc>
      </w:tr>
    </w:tbl>
    <w:p>
      <w:pPr>
        <w:pStyle w:val="3"/>
        <w:ind w:firstLine="0" w:firstLineChars="0"/>
        <w:rPr>
          <w:lang w:val="en-US"/>
        </w:rPr>
      </w:pPr>
      <w:bookmarkStart w:id="32" w:name="蒸发量参数"/>
      <w:bookmarkEnd w:id="32"/>
    </w:p>
    <w:p>
      <w:pPr>
        <w:pStyle w:val="2"/>
      </w:pPr>
      <w:bookmarkStart w:id="33" w:name="_Toc16494775"/>
      <w:r>
        <w:rPr>
          <w:rFonts w:hint="eastAsia"/>
        </w:rPr>
        <w:t>住区指标概览</w:t>
      </w:r>
      <w:bookmarkEnd w:id="33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6"/>
        <w:gridCol w:w="46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地块面积(㎡)</w:t>
            </w:r>
          </w:p>
        </w:tc>
        <w:tc>
          <w:tcPr>
            <w:vAlign w:val="center"/>
          </w:tcPr>
          <w:p>
            <w:r>
              <w:t>33610.72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建筑密度</w:t>
            </w:r>
          </w:p>
        </w:tc>
        <w:tc>
          <w:tcPr>
            <w:vAlign w:val="center"/>
          </w:tcPr>
          <w:p>
            <w:r>
              <w:t>0.30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室外面积(㎡)</w:t>
            </w:r>
          </w:p>
        </w:tc>
        <w:tc>
          <w:tcPr>
            <w:vAlign w:val="center"/>
          </w:tcPr>
          <w:p>
            <w:r>
              <w:t>23446.90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广场面积(㎡)</w:t>
            </w:r>
          </w:p>
        </w:tc>
        <w:tc>
          <w:tcPr>
            <w:vAlign w:val="center"/>
          </w:tcPr>
          <w:p>
            <w:r>
              <w:t>2810.92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道路面积(㎡)</w:t>
            </w:r>
          </w:p>
        </w:tc>
        <w:tc>
          <w:tcPr>
            <w:vAlign w:val="center"/>
          </w:tcPr>
          <w:p>
            <w:r>
              <w:t>7354.25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绿地面积(㎡)</w:t>
            </w:r>
          </w:p>
        </w:tc>
        <w:tc>
          <w:tcPr>
            <w:vAlign w:val="center"/>
          </w:tcPr>
          <w:p>
            <w:r>
              <w:t>8067.19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水面面积(㎡)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绿化屋面面积(㎡)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乔木爬藤面积(㎡)</w:t>
            </w:r>
          </w:p>
        </w:tc>
        <w:tc>
          <w:tcPr>
            <w:vAlign w:val="center"/>
          </w:tcPr>
          <w:p>
            <w:r>
              <w:t>7833.30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亭廊面积(㎡)</w:t>
            </w:r>
          </w:p>
        </w:tc>
        <w:tc>
          <w:tcPr>
            <w:vAlign w:val="center"/>
          </w:tcPr>
          <w:p>
            <w:r>
              <w:t>204.85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渗透型硬地面积(㎡)</w:t>
            </w:r>
          </w:p>
        </w:tc>
        <w:tc>
          <w:tcPr>
            <w:vAlign w:val="center"/>
          </w:tcPr>
          <w:p>
            <w:r>
              <w:t>10894.51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地表平均太阳辐射吸收系数</w:t>
            </w:r>
          </w:p>
        </w:tc>
        <w:tc>
          <w:tcPr>
            <w:vAlign w:val="center"/>
          </w:tcPr>
          <w:p>
            <w:r>
              <w:t>0.77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地面粗糙系数</w:t>
            </w:r>
          </w:p>
        </w:tc>
        <w:tc>
          <w:tcPr>
            <w:vAlign w:val="center"/>
          </w:tcPr>
          <w:p>
            <w:r>
              <w:t>0.30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平均迎风面积比</w:t>
            </w:r>
          </w:p>
        </w:tc>
        <w:tc>
          <w:tcPr>
            <w:vAlign w:val="center"/>
          </w:tcPr>
          <w:p>
            <w:r>
              <w:t>0.90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CTTC居住区热时间常数(h)</w:t>
            </w:r>
          </w:p>
        </w:tc>
        <w:tc>
          <w:tcPr>
            <w:vAlign w:val="center"/>
          </w:tcPr>
          <w:p>
            <w:r>
              <w:t>12.94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绿化遮阳覆盖率(%)</w:t>
            </w:r>
          </w:p>
        </w:tc>
        <w:tc>
          <w:tcPr>
            <w:vAlign w:val="center"/>
          </w:tcPr>
          <w:p>
            <w:r>
              <w:t>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构筑物遮阳覆盖率(%)</w:t>
            </w:r>
          </w:p>
        </w:tc>
        <w:tc>
          <w:tcPr>
            <w:vAlign w:val="center"/>
          </w:tcPr>
          <w:p>
            <w: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平均天空角系数</w:t>
            </w:r>
          </w:p>
        </w:tc>
        <w:tc>
          <w:tcPr>
            <w:vAlign w:val="center"/>
          </w:tcPr>
          <w:p>
            <w:r>
              <w:t>0.63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通风架空率(%)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4" w:name="住区指标概览"/>
      <w:bookmarkEnd w:id="34"/>
    </w:p>
    <w:p>
      <w:pPr>
        <w:pStyle w:val="2"/>
      </w:pPr>
      <w:bookmarkStart w:id="35" w:name="_Toc16494776"/>
      <w:r>
        <w:rPr>
          <w:rFonts w:hint="eastAsia"/>
        </w:rPr>
        <w:t>规定性设计指标</w:t>
      </w:r>
      <w:bookmarkEnd w:id="35"/>
    </w:p>
    <w:p>
      <w:pPr>
        <w:pStyle w:val="4"/>
      </w:pPr>
      <w:bookmarkStart w:id="36" w:name="_Toc16494777"/>
      <w:r>
        <w:rPr>
          <w:rFonts w:hint="eastAsia"/>
        </w:rPr>
        <w:t>平均迎风面积比</w:t>
      </w:r>
      <w:bookmarkEnd w:id="36"/>
      <w:bookmarkStart w:id="57" w:name="_GoBack"/>
      <w:bookmarkEnd w:id="57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迎风面积(㎡)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最大可能</w:t>
            </w:r>
            <w:r>
              <w:br w:type="textWrapping"/>
            </w:r>
            <w:r>
              <w:t>迎风面积(㎡)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最大可能</w:t>
            </w:r>
            <w:r>
              <w:br w:type="textWrapping"/>
            </w:r>
            <w:r>
              <w:t>迎风方向(°)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迎风面积比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A-1</w:t>
            </w:r>
          </w:p>
        </w:tc>
        <w:tc>
          <w:tcPr>
            <w:vAlign w:val="center"/>
          </w:tcPr>
          <w:p>
            <w:r>
              <w:t>115.42</w:t>
            </w:r>
          </w:p>
        </w:tc>
        <w:tc>
          <w:tcPr>
            <w:vAlign w:val="center"/>
          </w:tcPr>
          <w:p>
            <w:r>
              <w:t>174.53</w:t>
            </w:r>
          </w:p>
        </w:tc>
        <w:tc>
          <w:tcPr>
            <w:vAlign w:val="center"/>
          </w:tcPr>
          <w:p>
            <w:r>
              <w:t>90.00</w:t>
            </w:r>
          </w:p>
        </w:tc>
        <w:tc>
          <w:tcPr>
            <w:vAlign w:val="center"/>
          </w:tcPr>
          <w:p>
            <w:r>
              <w:t>0.6613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A-4</w:t>
            </w:r>
          </w:p>
        </w:tc>
        <w:tc>
          <w:tcPr>
            <w:vAlign w:val="center"/>
          </w:tcPr>
          <w:p>
            <w:r>
              <w:t>204.78</w:t>
            </w:r>
          </w:p>
        </w:tc>
        <w:tc>
          <w:tcPr>
            <w:vAlign w:val="center"/>
          </w:tcPr>
          <w:p>
            <w:r>
              <w:t>214.38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0.9552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A-5</w:t>
            </w:r>
          </w:p>
        </w:tc>
        <w:tc>
          <w:tcPr>
            <w:vAlign w:val="center"/>
          </w:tcPr>
          <w:p>
            <w:r>
              <w:t>272.17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A-6</w:t>
            </w:r>
          </w:p>
        </w:tc>
        <w:tc>
          <w:tcPr>
            <w:vAlign w:val="center"/>
          </w:tcPr>
          <w:p>
            <w:r>
              <w:t>326.61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A-7</w:t>
            </w:r>
          </w:p>
        </w:tc>
        <w:tc>
          <w:tcPr>
            <w:vAlign w:val="center"/>
          </w:tcPr>
          <w:p>
            <w:r>
              <w:t>429.74</w:t>
            </w:r>
          </w:p>
        </w:tc>
        <w:tc>
          <w:tcPr>
            <w:vAlign w:val="center"/>
          </w:tcPr>
          <w:p>
            <w:r>
              <w:t>429.74</w:t>
            </w:r>
          </w:p>
        </w:tc>
        <w:tc>
          <w:tcPr>
            <w:vAlign w:val="center"/>
          </w:tcPr>
          <w:p>
            <w:r>
              <w:t>140.00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A-8</w:t>
            </w:r>
          </w:p>
        </w:tc>
        <w:tc>
          <w:tcPr>
            <w:vAlign w:val="center"/>
          </w:tcPr>
          <w:p>
            <w:r>
              <w:t>1143.52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100.00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0.7766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B-1</w:t>
            </w:r>
          </w:p>
        </w:tc>
        <w:tc>
          <w:tcPr>
            <w:vAlign w:val="center"/>
          </w:tcPr>
          <w:p>
            <w:r>
              <w:t>133.07</w:t>
            </w:r>
          </w:p>
        </w:tc>
        <w:tc>
          <w:tcPr>
            <w:vAlign w:val="center"/>
          </w:tcPr>
          <w:p>
            <w:r>
              <w:t>324.12</w:t>
            </w:r>
          </w:p>
        </w:tc>
        <w:tc>
          <w:tcPr>
            <w:vAlign w:val="center"/>
          </w:tcPr>
          <w:p>
            <w:r>
              <w:t>70.00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0.4106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B-4</w:t>
            </w:r>
          </w:p>
        </w:tc>
        <w:tc>
          <w:tcPr>
            <w:vAlign w:val="center"/>
          </w:tcPr>
          <w:p>
            <w:r>
              <w:t>210.94</w:t>
            </w:r>
          </w:p>
        </w:tc>
        <w:tc>
          <w:tcPr>
            <w:vAlign w:val="center"/>
          </w:tcPr>
          <w:p>
            <w:r>
              <w:t>216.38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0.9749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B-5</w:t>
            </w:r>
          </w:p>
        </w:tc>
        <w:tc>
          <w:tcPr>
            <w:vAlign w:val="center"/>
          </w:tcPr>
          <w:p>
            <w:r>
              <w:t>263.68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B-6</w:t>
            </w:r>
          </w:p>
        </w:tc>
        <w:tc>
          <w:tcPr>
            <w:vAlign w:val="center"/>
          </w:tcPr>
          <w:p>
            <w:r>
              <w:t>316.41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B-7</w:t>
            </w:r>
          </w:p>
        </w:tc>
        <w:tc>
          <w:tcPr>
            <w:vAlign w:val="center"/>
          </w:tcPr>
          <w:p>
            <w:r>
              <w:t>369.15</w:t>
            </w:r>
          </w:p>
        </w:tc>
        <w:tc>
          <w:tcPr>
            <w:vAlign w:val="center"/>
          </w:tcPr>
          <w:p>
            <w:r>
              <w:t>403.20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0.9155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B-8</w:t>
            </w:r>
          </w:p>
        </w:tc>
        <w:tc>
          <w:tcPr>
            <w:vAlign w:val="center"/>
          </w:tcPr>
          <w:p>
            <w:r>
              <w:t>1143.52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100.00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0.7766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C-1</w:t>
            </w:r>
          </w:p>
        </w:tc>
        <w:tc>
          <w:tcPr>
            <w:vAlign w:val="center"/>
          </w:tcPr>
          <w:p>
            <w:r>
              <w:t>117.69</w:t>
            </w:r>
          </w:p>
        </w:tc>
        <w:tc>
          <w:tcPr>
            <w:vAlign w:val="center"/>
          </w:tcPr>
          <w:p>
            <w:r>
              <w:t>174.53</w:t>
            </w:r>
          </w:p>
        </w:tc>
        <w:tc>
          <w:tcPr>
            <w:vAlign w:val="center"/>
          </w:tcPr>
          <w:p>
            <w:r>
              <w:t>90.00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0.6743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C-4</w:t>
            </w:r>
          </w:p>
        </w:tc>
        <w:tc>
          <w:tcPr>
            <w:vAlign w:val="center"/>
          </w:tcPr>
          <w:p>
            <w:r>
              <w:t>210.94</w:t>
            </w:r>
          </w:p>
        </w:tc>
        <w:tc>
          <w:tcPr>
            <w:vAlign w:val="center"/>
          </w:tcPr>
          <w:p>
            <w:r>
              <w:t>214.38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0.9839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C-5</w:t>
            </w:r>
          </w:p>
        </w:tc>
        <w:tc>
          <w:tcPr>
            <w:vAlign w:val="center"/>
          </w:tcPr>
          <w:p>
            <w:r>
              <w:t>263.68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C-6</w:t>
            </w:r>
          </w:p>
        </w:tc>
        <w:tc>
          <w:tcPr>
            <w:vAlign w:val="center"/>
          </w:tcPr>
          <w:p>
            <w:r>
              <w:t>316.41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C-7</w:t>
            </w:r>
          </w:p>
        </w:tc>
        <w:tc>
          <w:tcPr>
            <w:vAlign w:val="center"/>
          </w:tcPr>
          <w:p>
            <w:r>
              <w:t>369.15</w:t>
            </w:r>
          </w:p>
        </w:tc>
        <w:tc>
          <w:tcPr>
            <w:vAlign w:val="center"/>
          </w:tcPr>
          <w:p>
            <w:r>
              <w:t>429.74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0.8590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C-8</w:t>
            </w:r>
          </w:p>
        </w:tc>
        <w:tc>
          <w:tcPr>
            <w:vAlign w:val="center"/>
          </w:tcPr>
          <w:p>
            <w:r>
              <w:t>1141.37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80.00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0.7751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D-1</w:t>
            </w:r>
          </w:p>
        </w:tc>
        <w:tc>
          <w:tcPr>
            <w:vAlign w:val="center"/>
          </w:tcPr>
          <w:p>
            <w:r>
              <w:t>279.75</w:t>
            </w:r>
          </w:p>
        </w:tc>
        <w:tc>
          <w:tcPr>
            <w:vAlign w:val="center"/>
          </w:tcPr>
          <w:p>
            <w:r>
              <w:t>324.12</w:t>
            </w:r>
          </w:p>
        </w:tc>
        <w:tc>
          <w:tcPr>
            <w:vAlign w:val="center"/>
          </w:tcPr>
          <w:p>
            <w:r>
              <w:t>110.00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0.8631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D-4</w:t>
            </w:r>
          </w:p>
        </w:tc>
        <w:tc>
          <w:tcPr>
            <w:vAlign w:val="center"/>
          </w:tcPr>
          <w:p>
            <w:r>
              <w:t>210.02</w:t>
            </w:r>
          </w:p>
        </w:tc>
        <w:tc>
          <w:tcPr>
            <w:vAlign w:val="center"/>
          </w:tcPr>
          <w:p>
            <w:r>
              <w:t>216.38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0.9706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D-5</w:t>
            </w:r>
          </w:p>
        </w:tc>
        <w:tc>
          <w:tcPr>
            <w:vAlign w:val="center"/>
          </w:tcPr>
          <w:p>
            <w:r>
              <w:t>272.17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D-6</w:t>
            </w:r>
          </w:p>
        </w:tc>
        <w:tc>
          <w:tcPr>
            <w:vAlign w:val="center"/>
          </w:tcPr>
          <w:p>
            <w:r>
              <w:t>326.61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D-7</w:t>
            </w:r>
          </w:p>
        </w:tc>
        <w:tc>
          <w:tcPr>
            <w:vAlign w:val="center"/>
          </w:tcPr>
          <w:p>
            <w:r>
              <w:t>403.20</w:t>
            </w:r>
          </w:p>
        </w:tc>
        <w:tc>
          <w:tcPr>
            <w:vAlign w:val="center"/>
          </w:tcPr>
          <w:p>
            <w:r>
              <w:t>403.20</w:t>
            </w:r>
          </w:p>
        </w:tc>
        <w:tc>
          <w:tcPr>
            <w:vAlign w:val="center"/>
          </w:tcPr>
          <w:p>
            <w:r>
              <w:t>140.00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D-8</w:t>
            </w:r>
          </w:p>
        </w:tc>
        <w:tc>
          <w:tcPr>
            <w:vAlign w:val="center"/>
          </w:tcPr>
          <w:p>
            <w:r>
              <w:t>1141.37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80.00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0.7751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Z-1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Z-2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Z-3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140.00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8-1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8-2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平均迎风面积比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  <w:color w:val="FF0000"/>
              </w:rPr>
              <w:t>0.901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《城市居住区热环境设计标准》4.1.1条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平均迎风面积比≤0.70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7" w:name="平均迎风面积比"/>
      <w:bookmarkEnd w:id="37"/>
    </w:p>
    <w:p>
      <w:pPr>
        <w:pStyle w:val="4"/>
      </w:pPr>
      <w:bookmarkStart w:id="38" w:name="_Toc16494778"/>
      <w:r>
        <w:rPr>
          <w:rFonts w:hint="eastAsia"/>
        </w:rPr>
        <w:t>活动场地遮阳覆盖率</w:t>
      </w:r>
      <w:bookmarkEnd w:id="38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场地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场地面积(㎡)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遮阳覆盖率(%)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覆盖率限值(%)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</w:t>
            </w:r>
          </w:p>
        </w:tc>
        <w:tc>
          <w:tcPr>
            <w:vAlign w:val="center"/>
          </w:tcPr>
          <w:p>
            <w:r>
              <w:t>408.7</w:t>
            </w:r>
          </w:p>
        </w:tc>
        <w:tc>
          <w:tcPr>
            <w:vAlign w:val="center"/>
          </w:tcPr>
          <w:p>
            <w:r>
              <w:t>2810.9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15</w:t>
            </w:r>
          </w:p>
        </w:tc>
        <w:tc>
          <w:tcPr>
            <w:vAlign w:val="center"/>
          </w:tcPr>
          <w:p>
            <w:r>
              <w:t>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游憩场</w:t>
            </w:r>
          </w:p>
        </w:tc>
        <w:tc>
          <w:tcPr>
            <w:vAlign w:val="center"/>
          </w:tcPr>
          <w:p>
            <w:r>
              <w:t>643.4</w:t>
            </w:r>
          </w:p>
        </w:tc>
        <w:tc>
          <w:tcPr>
            <w:vAlign w:val="center"/>
          </w:tcPr>
          <w:p>
            <w:r>
              <w:t>1916.7</w:t>
            </w:r>
          </w:p>
        </w:tc>
        <w:tc>
          <w:tcPr>
            <w:vAlign w:val="center"/>
          </w:tcPr>
          <w:p>
            <w:r>
              <w:t>34</w:t>
            </w:r>
          </w:p>
        </w:tc>
        <w:tc>
          <w:tcPr>
            <w:vAlign w:val="center"/>
          </w:tcPr>
          <w:p>
            <w:r>
              <w:t>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人行道</w:t>
            </w:r>
          </w:p>
        </w:tc>
        <w:tc>
          <w:tcPr>
            <w:vAlign w:val="center"/>
          </w:tcPr>
          <w:p>
            <w:r>
              <w:t>699.0</w:t>
            </w:r>
          </w:p>
        </w:tc>
        <w:tc>
          <w:tcPr>
            <w:vAlign w:val="center"/>
          </w:tcPr>
          <w:p>
            <w:r>
              <w:t>7354.3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10</w:t>
            </w:r>
          </w:p>
        </w:tc>
        <w:tc>
          <w:tcPr>
            <w:vAlign w:val="center"/>
          </w:tcPr>
          <w:p>
            <w:r>
              <w:t>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《城市居住区热环境设计标准》4.2.1条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各类活动场地遮阳覆盖率不得低于标准要求限值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9" w:name="活动场地遮阳覆盖率"/>
      <w:bookmarkEnd w:id="39"/>
    </w:p>
    <w:p>
      <w:pPr>
        <w:pStyle w:val="4"/>
      </w:pPr>
      <w:bookmarkStart w:id="40" w:name="_Toc16494779"/>
      <w:r>
        <w:rPr>
          <w:rFonts w:hint="eastAsia"/>
        </w:rPr>
        <w:t>底层通风架空率</w:t>
      </w:r>
      <w:bookmarkEnd w:id="40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底层架空面积(㎡)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基底面积(㎡)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迎风面宽度(m)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底层通风架空率(%)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241.8</w:t>
            </w:r>
          </w:p>
        </w:tc>
        <w:tc>
          <w:tcPr>
            <w:vAlign w:val="center"/>
          </w:tcPr>
          <w:p>
            <w:r>
              <w:t>46.7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18.4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22.6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56.5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662.9</w:t>
            </w:r>
          </w:p>
        </w:tc>
        <w:tc>
          <w:tcPr>
            <w:vAlign w:val="center"/>
          </w:tcPr>
          <w:p>
            <w:r>
              <w:t>58.4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241.8</w:t>
            </w:r>
          </w:p>
        </w:tc>
        <w:tc>
          <w:tcPr>
            <w:vAlign w:val="center"/>
          </w:tcPr>
          <w:p>
            <w:r>
              <w:t>47.6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56.1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D-1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0.0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662.9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108.5</w:t>
            </w:r>
          </w:p>
        </w:tc>
        <w:tc>
          <w:tcPr>
            <w:vAlign w:val="center"/>
          </w:tcPr>
          <w:p>
            <w:pPr>
              <w:rPr>
                <w:color w:val="C00000"/>
              </w:rPr>
            </w:pPr>
            <w:r>
              <w:rPr>
                <w:color w:val="C0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56.1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Z-2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Z-3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8-2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t>《城市居住区热环境设计标准》4.1.4条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t>III、IV、V气候区，夏季主导风向迎风面积宽度超过80m时，底层通风架空率不应小于10%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41" w:name="底层通风架空率"/>
      <w:bookmarkEnd w:id="41"/>
    </w:p>
    <w:p>
      <w:pPr>
        <w:pStyle w:val="4"/>
      </w:pPr>
      <w:bookmarkStart w:id="42" w:name="_Toc16494780"/>
      <w:r>
        <w:rPr>
          <w:rFonts w:hint="eastAsia"/>
        </w:rPr>
        <w:t>绿化遮阳体叶面积指数</w:t>
      </w:r>
      <w:bookmarkEnd w:id="42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遮阳体类型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叶面积指数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r>
              <w:t>乔木</w:t>
            </w:r>
          </w:p>
        </w:tc>
        <w:tc>
          <w:tcPr>
            <w:vAlign w:val="center"/>
          </w:tcPr>
          <w:p>
            <w:r>
              <w:t>LAI&gt;3</w:t>
            </w:r>
          </w:p>
        </w:tc>
        <w:tc>
          <w:tcPr>
            <w:vAlign w:val="center"/>
          </w:tcPr>
          <w:p>
            <w:r>
              <w:t>4995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2.0&lt;LAI&lt;=3.0</w:t>
            </w:r>
          </w:p>
        </w:tc>
        <w:tc>
          <w:tcPr>
            <w:vAlign w:val="center"/>
          </w:tcPr>
          <w:p>
            <w:r>
              <w:t>5153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1.0&lt;LAI&lt;=2.0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0.5&lt;LAI&lt;=1.0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LAI&lt;=0.5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r>
              <w:t>爬藤棚架</w:t>
            </w:r>
          </w:p>
        </w:tc>
        <w:tc>
          <w:tcPr>
            <w:vAlign w:val="center"/>
          </w:tcPr>
          <w:p>
            <w:r>
              <w:t>LAI&gt;3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2.0&lt;LAI&lt;=3.0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1.0&lt;LAI&lt;=2.0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0.5&lt;LAI&lt;=1.0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LAI&lt;=0.5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2"/>
            <w:vAlign w:val="center"/>
          </w:tcPr>
          <w:p>
            <w:r>
              <w:t>《城市居住区热环境设计标准》4.2.3条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2"/>
            <w:vAlign w:val="center"/>
          </w:tcPr>
          <w:p>
            <w:r>
              <w:t>绿化遮阳体叶面积指数不应小于3.0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2"/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43" w:name="绿化遮阳体叶面积指数"/>
      <w:bookmarkEnd w:id="43"/>
    </w:p>
    <w:p>
      <w:pPr>
        <w:pStyle w:val="4"/>
      </w:pPr>
      <w:bookmarkStart w:id="44" w:name="_Toc16494781"/>
      <w:r>
        <w:rPr>
          <w:rFonts w:hint="eastAsia"/>
        </w:rPr>
        <w:t>渗透蒸发指标</w:t>
      </w:r>
      <w:bookmarkEnd w:id="44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地面透水系数k(mm/s)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蒸发量m</w:t>
            </w:r>
            <w:r>
              <w:br w:type="textWrapping"/>
            </w:r>
            <w:r>
              <w:t>(kg/(㎡·d))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</w:t>
            </w:r>
          </w:p>
        </w:tc>
        <w:tc>
          <w:tcPr>
            <w:vAlign w:val="center"/>
          </w:tcPr>
          <w:p>
            <w:r>
              <w:t>2811</w:t>
            </w:r>
          </w:p>
        </w:tc>
        <w:tc>
          <w:tcPr>
            <w:vAlign w:val="center"/>
          </w:tcPr>
          <w:p>
            <w:r>
              <w:t>0.233</w:t>
            </w:r>
          </w:p>
        </w:tc>
        <w:tc>
          <w:tcPr>
            <w:vAlign w:val="center"/>
          </w:tcPr>
          <w:p>
            <w:r>
              <w:t>2.73</w:t>
            </w:r>
          </w:p>
        </w:tc>
        <w:tc>
          <w:tcPr>
            <w:vAlign w:val="center"/>
          </w:tcPr>
          <w:p>
            <w:r>
              <w:t>1.20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游憩场</w:t>
            </w:r>
          </w:p>
        </w:tc>
        <w:tc>
          <w:tcPr>
            <w:vAlign w:val="center"/>
          </w:tcPr>
          <w:p>
            <w:r>
              <w:t>1917</w:t>
            </w:r>
          </w:p>
        </w:tc>
        <w:tc>
          <w:tcPr>
            <w:vAlign w:val="center"/>
          </w:tcPr>
          <w:p>
            <w:r>
              <w:t>0.159</w:t>
            </w:r>
          </w:p>
        </w:tc>
        <w:tc>
          <w:tcPr>
            <w:vAlign w:val="center"/>
          </w:tcPr>
          <w:p>
            <w:r>
              <w:t>2.58</w:t>
            </w:r>
          </w:p>
        </w:tc>
        <w:tc>
          <w:tcPr>
            <w:vAlign w:val="center"/>
          </w:tcPr>
          <w:p>
            <w:r>
              <w:t>1.14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人行道</w:t>
            </w:r>
          </w:p>
        </w:tc>
        <w:tc>
          <w:tcPr>
            <w:vAlign w:val="center"/>
          </w:tcPr>
          <w:p>
            <w:r>
              <w:t>7354</w:t>
            </w:r>
          </w:p>
        </w:tc>
        <w:tc>
          <w:tcPr>
            <w:vAlign w:val="center"/>
          </w:tcPr>
          <w:p>
            <w:r>
              <w:t>0.609</w:t>
            </w:r>
          </w:p>
        </w:tc>
        <w:tc>
          <w:tcPr>
            <w:vAlign w:val="center"/>
          </w:tcPr>
          <w:p>
            <w:r>
              <w:t>2.76</w:t>
            </w:r>
          </w:p>
        </w:tc>
        <w:tc>
          <w:tcPr>
            <w:vAlign w:val="center"/>
          </w:tcPr>
          <w:p>
            <w:r>
              <w:t>1.20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r>
              <w:t>12082</w:t>
            </w:r>
          </w:p>
        </w:tc>
        <w:tc>
          <w:tcPr>
            <w:vAlign w:val="center"/>
          </w:tcPr>
          <w:p>
            <w:r>
              <w:t>1.0</w:t>
            </w:r>
          </w:p>
        </w:tc>
        <w:tc>
          <w:tcPr>
            <w:vAlign w:val="center"/>
          </w:tcPr>
          <w:p>
            <w:r>
              <w:t>2.72</w:t>
            </w:r>
          </w:p>
        </w:tc>
        <w:tc>
          <w:tcPr>
            <w:vAlign w:val="center"/>
          </w:tcPr>
          <w:p>
            <w:r>
              <w:t>1.19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45" w:name="渗透蒸发指标"/>
      <w:bookmarkEnd w:id="45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渗透面积比率(%)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</w:t>
            </w:r>
          </w:p>
        </w:tc>
        <w:tc>
          <w:tcPr>
            <w:vAlign w:val="center"/>
          </w:tcPr>
          <w:p>
            <w:r>
              <w:t>91</w:t>
            </w:r>
          </w:p>
        </w:tc>
        <w:tc>
          <w:tcPr>
            <w:vAlign w:val="center"/>
          </w:tcPr>
          <w:p>
            <w:r>
              <w:t>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游憩场</w:t>
            </w:r>
          </w:p>
        </w:tc>
        <w:tc>
          <w:tcPr>
            <w:vAlign w:val="center"/>
          </w:tcPr>
          <w:p>
            <w:r>
              <w:t>86</w:t>
            </w:r>
          </w:p>
        </w:tc>
        <w:tc>
          <w:tcPr>
            <w:vAlign w:val="center"/>
          </w:tcPr>
          <w:p>
            <w:r>
              <w:t>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人行道</w:t>
            </w:r>
          </w:p>
        </w:tc>
        <w:tc>
          <w:tcPr>
            <w:vAlign w:val="center"/>
          </w:tcPr>
          <w:p>
            <w:r>
              <w:t>91</w:t>
            </w:r>
          </w:p>
        </w:tc>
        <w:tc>
          <w:tcPr>
            <w:vAlign w:val="center"/>
          </w:tcPr>
          <w:p>
            <w:r>
              <w:t>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pPr>
              <w:jc w:val="center"/>
            </w:pPr>
            <w:r>
              <w:t>渗透与蒸发指标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地面透水系数k(mm/s)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2.72</w:t>
            </w:r>
          </w:p>
        </w:tc>
        <w:tc>
          <w:tcPr>
            <w:vAlign w:val="center"/>
          </w:tcPr>
          <w:p>
            <w:r>
              <w:t>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蒸发量m(kg/(㎡·d))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1.19</w:t>
            </w:r>
          </w:p>
        </w:tc>
        <w:tc>
          <w:tcPr>
            <w:vAlign w:val="center"/>
          </w:tcPr>
          <w:p>
            <w:r>
              <w:t>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2"/>
            <w:vAlign w:val="center"/>
          </w:tcPr>
          <w:p>
            <w:r>
              <w:t>《城市居住区热环境设计标准》4.3.1条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2"/>
            <w:vAlign w:val="center"/>
          </w:tcPr>
          <w:p>
            <w:r>
              <w:t>渗透面积比率、透水系数及蒸发量不应低于标准规定限值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2"/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</w:p>
    <w:p>
      <w:pPr>
        <w:pStyle w:val="4"/>
      </w:pPr>
      <w:bookmarkStart w:id="46" w:name="_Toc16494782"/>
      <w:r>
        <w:rPr>
          <w:rFonts w:hint="eastAsia"/>
        </w:rPr>
        <w:t>屋面绿化率</w:t>
      </w:r>
      <w:bookmarkEnd w:id="46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屋面轮廓面积(㎡)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屋顶绿化面积(㎡)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可绿化屋面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屋面绿化率(%)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A-1</w:t>
            </w:r>
          </w:p>
        </w:tc>
        <w:tc>
          <w:tcPr>
            <w:vAlign w:val="center"/>
          </w:tcPr>
          <w:p>
            <w:r>
              <w:t>241.8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241.8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A-4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A-5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A-6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A-7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B-1</w:t>
            </w:r>
          </w:p>
        </w:tc>
        <w:tc>
          <w:tcPr>
            <w:vAlign w:val="center"/>
          </w:tcPr>
          <w:p>
            <w:r>
              <w:t>662.9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662.9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B-4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B-5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B-6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B-7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C-1</w:t>
            </w:r>
          </w:p>
        </w:tc>
        <w:tc>
          <w:tcPr>
            <w:vAlign w:val="center"/>
          </w:tcPr>
          <w:p>
            <w:r>
              <w:t>241.8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241.8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C-4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C-5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C-6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C-7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D-1</w:t>
            </w:r>
          </w:p>
        </w:tc>
        <w:tc>
          <w:tcPr>
            <w:vAlign w:val="center"/>
          </w:tcPr>
          <w:p>
            <w:r>
              <w:t>662.9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662.9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D-4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D-5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D-6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D-7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Z-1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Z-2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Z-3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Z-4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8-1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8-2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r>
              <w:t>10163.8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10163.8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t>《城市居住区热环境设计标准》4.4.2条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t>建筑屋面的绿化面积不应低于可绿化屋面面积的50%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rPr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47" w:name="屋面绿化率"/>
      <w:bookmarkEnd w:id="47"/>
    </w:p>
    <w:p>
      <w:pPr>
        <w:pStyle w:val="2"/>
      </w:pPr>
      <w:bookmarkStart w:id="48" w:name="_Toc16494786"/>
      <w:r>
        <w:rPr>
          <w:rFonts w:hint="eastAsia"/>
        </w:rPr>
        <w:t>结论</w:t>
      </w:r>
      <w:bookmarkEnd w:id="48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2800"/>
        <w:gridCol w:w="1866"/>
        <w:gridCol w:w="28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shd w:val="clear" w:color="auto" w:fill="E6E6E6"/>
            <w:vAlign w:val="center"/>
          </w:tcPr>
          <w:p>
            <w:pPr>
              <w:jc w:val="center"/>
            </w:pPr>
            <w:bookmarkStart w:id="49" w:name="结论"/>
            <w:bookmarkEnd w:id="49"/>
            <w:r>
              <w:t>类别</w:t>
            </w:r>
          </w:p>
        </w:tc>
        <w:tc>
          <w:tcPr>
            <w:tcW w:w="2800" w:type="dxa"/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tcW w:w="1866" w:type="dxa"/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  <w:tc>
          <w:tcPr>
            <w:tcW w:w="2800" w:type="dxa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restart"/>
            <w:shd w:val="clear" w:color="auto" w:fill="E6E6E6"/>
            <w:vAlign w:val="center"/>
          </w:tcPr>
          <w:p>
            <w:r>
              <w:rPr>
                <w:rFonts w:hint="eastAsia"/>
                <w:b/>
              </w:rPr>
              <w:t>强制</w:t>
            </w:r>
            <w:r>
              <w:rPr>
                <w:b/>
              </w:rPr>
              <w:t>性条</w:t>
            </w:r>
            <w:r>
              <w:rPr>
                <w:rFonts w:hint="eastAsia"/>
                <w:b/>
              </w:rPr>
              <w:t>文</w:t>
            </w:r>
          </w:p>
        </w:tc>
        <w:tc>
          <w:tcPr>
            <w:tcW w:w="2800" w:type="dxa"/>
            <w:vAlign w:val="center"/>
          </w:tcPr>
          <w:p>
            <w:r>
              <w:rPr>
                <w:b/>
              </w:rPr>
              <w:t>平均迎风面积比</w:t>
            </w:r>
          </w:p>
        </w:tc>
        <w:tc>
          <w:tcPr>
            <w:tcW w:w="1866" w:type="dxa"/>
            <w:vAlign w:val="center"/>
          </w:tcPr>
          <w:p>
            <w:pPr>
              <w:rPr>
                <w:b/>
              </w:rPr>
            </w:pPr>
            <w:bookmarkStart w:id="50" w:name="平均迎风面积比结论"/>
            <w:r>
              <w:rPr>
                <w:rFonts w:hint="eastAsia"/>
                <w:b/>
                <w:color w:val="FF0000"/>
              </w:rPr>
              <w:t>不满足</w:t>
            </w:r>
            <w:bookmarkEnd w:id="50"/>
          </w:p>
        </w:tc>
        <w:tc>
          <w:tcPr>
            <w:tcW w:w="2800" w:type="dxa"/>
            <w:vMerge w:val="restart"/>
            <w:vAlign w:val="center"/>
          </w:tcPr>
          <w:p>
            <w:r>
              <w:rPr>
                <w:b/>
              </w:rPr>
              <w:t>强制条文，必须满足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rPr>
                <w:b/>
              </w:rPr>
              <w:t>活动场地遮阳覆盖率</w:t>
            </w:r>
          </w:p>
        </w:tc>
        <w:tc>
          <w:tcPr>
            <w:tcW w:w="1866" w:type="dxa"/>
            <w:vAlign w:val="center"/>
          </w:tcPr>
          <w:p>
            <w:pPr>
              <w:rPr>
                <w:b/>
              </w:rPr>
            </w:pPr>
            <w:bookmarkStart w:id="51" w:name="活动场地遮阳覆盖率结论"/>
            <w:r>
              <w:rPr>
                <w:rFonts w:hint="eastAsia"/>
                <w:b/>
                <w:color w:val="FF0000"/>
              </w:rPr>
              <w:t>不满足</w:t>
            </w:r>
            <w:bookmarkEnd w:id="51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restart"/>
            <w:shd w:val="clear" w:color="auto" w:fill="E6E6E6"/>
            <w:vAlign w:val="center"/>
          </w:tcPr>
          <w:p>
            <w:r>
              <w:t>规定性设计</w:t>
            </w:r>
          </w:p>
        </w:tc>
        <w:tc>
          <w:tcPr>
            <w:tcW w:w="2800" w:type="dxa"/>
            <w:vAlign w:val="center"/>
          </w:tcPr>
          <w:p>
            <w:r>
              <w:t>底层通风架空率</w:t>
            </w:r>
          </w:p>
        </w:tc>
        <w:tc>
          <w:tcPr>
            <w:tcW w:w="1866" w:type="dxa"/>
            <w:vAlign w:val="center"/>
          </w:tcPr>
          <w:p>
            <w:bookmarkStart w:id="52" w:name="底层通风架空率结论"/>
            <w:r>
              <w:rPr>
                <w:color w:val="FF0000"/>
              </w:rPr>
              <w:t>不满足</w:t>
            </w:r>
            <w:bookmarkEnd w:id="52"/>
          </w:p>
        </w:tc>
        <w:tc>
          <w:tcPr>
            <w:tcW w:w="2800" w:type="dxa"/>
            <w:vMerge w:val="restart"/>
            <w:vAlign w:val="center"/>
          </w:tcPr>
          <w:p>
            <w:r>
              <w:t>不满足任意一条时，进行评价性设计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t>绿化遮阳体叶面积指数</w:t>
            </w:r>
          </w:p>
        </w:tc>
        <w:tc>
          <w:tcPr>
            <w:tcW w:w="1866" w:type="dxa"/>
            <w:vAlign w:val="center"/>
          </w:tcPr>
          <w:p>
            <w:bookmarkStart w:id="53" w:name="绿化遮阳体叶面积指数结论"/>
            <w:r>
              <w:rPr>
                <w:color w:val="FF0000"/>
              </w:rPr>
              <w:t>不满足</w:t>
            </w:r>
            <w:bookmarkEnd w:id="53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t>渗透蒸发指标</w:t>
            </w:r>
          </w:p>
        </w:tc>
        <w:tc>
          <w:tcPr>
            <w:tcW w:w="1866" w:type="dxa"/>
            <w:vAlign w:val="center"/>
          </w:tcPr>
          <w:p>
            <w:bookmarkStart w:id="54" w:name="渗透蒸发指标结论"/>
            <w:r>
              <w:rPr>
                <w:color w:val="FF0000"/>
              </w:rPr>
              <w:t>不满足</w:t>
            </w:r>
            <w:bookmarkEnd w:id="54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t>屋面绿化率</w:t>
            </w:r>
          </w:p>
        </w:tc>
        <w:tc>
          <w:tcPr>
            <w:tcW w:w="1866" w:type="dxa"/>
            <w:vAlign w:val="center"/>
          </w:tcPr>
          <w:p>
            <w:bookmarkStart w:id="55" w:name="屋面绿化率结论"/>
            <w:r>
              <w:rPr>
                <w:color w:val="FF0000"/>
              </w:rPr>
              <w:t>不满足</w:t>
            </w:r>
            <w:bookmarkEnd w:id="55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7" w:type="dxa"/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4666" w:type="dxa"/>
            <w:gridSpan w:val="2"/>
            <w:vAlign w:val="center"/>
          </w:tcPr>
          <w:p>
            <w:pPr>
              <w:rPr>
                <w:b/>
              </w:rPr>
            </w:pPr>
            <w:bookmarkStart w:id="56" w:name="总结论"/>
            <w:r>
              <w:rPr>
                <w:rFonts w:hint="eastAsia"/>
                <w:b/>
                <w:color w:val="FF0000"/>
              </w:rPr>
              <w:t>不满足</w:t>
            </w:r>
            <w:bookmarkEnd w:id="56"/>
          </w:p>
        </w:tc>
      </w:tr>
    </w:tbl>
    <w:p>
      <w:pPr>
        <w:pStyle w:val="3"/>
        <w:ind w:firstLine="420"/>
        <w:rPr>
          <w:lang w:val="en-US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5</w:t>
    </w:r>
    <w:r>
      <w:rPr>
        <w:rStyle w:val="24"/>
      </w:rPr>
      <w:fldChar w:fldCharType="end"/>
    </w: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lang w:val="en-US"/>
      </w:rPr>
      <w:drawing>
        <wp:inline distT="0" distB="0" distL="0" distR="0">
          <wp:extent cx="857250" cy="161925"/>
          <wp:effectExtent l="0" t="0" r="0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7250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17F62"/>
    <w:rsid w:val="001915A3"/>
    <w:rsid w:val="00217F62"/>
    <w:rsid w:val="00A906D8"/>
    <w:rsid w:val="00AB5A74"/>
    <w:rsid w:val="00F071AE"/>
    <w:rsid w:val="5BE5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9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page number"/>
    <w:basedOn w:val="22"/>
    <w:uiPriority w:val="0"/>
  </w:style>
  <w:style w:type="character" w:styleId="25">
    <w:name w:val="Hyperlink"/>
    <w:uiPriority w:val="99"/>
    <w:rPr>
      <w:color w:val="0000FF"/>
      <w:u w:val="single"/>
    </w:rPr>
  </w:style>
  <w:style w:type="character" w:customStyle="1" w:styleId="26">
    <w:name w:val="标题 Char"/>
    <w:basedOn w:val="22"/>
    <w:link w:val="19"/>
    <w:uiPriority w:val="0"/>
    <w:rPr>
      <w:rFonts w:asciiTheme="majorHAnsi" w:hAnsiTheme="majorHAnsi" w:cstheme="majorBidi"/>
      <w:b/>
      <w:bCs/>
      <w:sz w:val="32"/>
      <w:szCs w:val="32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bmp"/><Relationship Id="rId8" Type="http://schemas.openxmlformats.org/officeDocument/2006/relationships/image" Target="media/image3.bmp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住区热环境(规定性设计)计算书.dotx</Template>
  <Company>ths</Company>
  <Pages>5</Pages>
  <Words>429</Words>
  <Characters>2451</Characters>
  <Lines>20</Lines>
  <Paragraphs>5</Paragraphs>
  <TotalTime>3</TotalTime>
  <ScaleCrop>false</ScaleCrop>
  <LinksUpToDate>false</LinksUpToDate>
  <CharactersWithSpaces>2875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2020-03-23T09:11:00Z</dcterms:created>
  <dc:creator>human</dc:creator>
  <cp:lastModifiedBy>User</cp:lastModifiedBy>
  <cp:lastPrinted>2411-12-31T16:00:00Z</cp:lastPrinted>
  <dcterms:modified xsi:type="dcterms:W3CDTF">2021-12-17T03:47:44Z</dcterms:modified>
  <dc:title>住区热环境规定性设计计算书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B16F4651DE704FC792934C91035A5180</vt:lpwstr>
  </property>
</Properties>
</file>