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住区热环境设计报告书</w:t>
      </w:r>
    </w:p>
    <w:p>
      <w:pPr>
        <w:pStyle w:val="19"/>
        <w:rPr>
          <w:lang w:val="en-US"/>
        </w:rPr>
      </w:pPr>
      <w:r>
        <w:rPr>
          <w:rFonts w:hint="eastAsia"/>
          <w:lang w:val="en-US"/>
        </w:rPr>
        <w:t>（规定</w:t>
      </w:r>
      <w:r>
        <w:rPr>
          <w:lang w:val="en-US"/>
        </w:rPr>
        <w:t>性设计</w:t>
      </w:r>
      <w:r>
        <w:rPr>
          <w:rFonts w:hint="eastAsia"/>
          <w:lang w:val="en-US"/>
        </w:rPr>
        <w:t>）</w:t>
      </w: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2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0" w:name="工程名称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1" w:name="地理位置"/>
            <w:r>
              <w:t>深圳</w:t>
            </w:r>
            <w:bookmarkEnd w:id="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2" w:name="设计编号"/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3" w:name="建设单位"/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4" w:name="设计单位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定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5" w:name="报告日期"/>
            <w:bookmarkEnd w:id="5"/>
          </w:p>
        </w:tc>
      </w:tr>
    </w:tbl>
    <w:p>
      <w:pPr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6" w:name="二维码"/>
      <w:bookmarkEnd w:id="6"/>
      <w:r>
        <w:drawing>
          <wp:inline distT="0" distB="0" distL="0" distR="0">
            <wp:extent cx="1514475" cy="151447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20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>
              <w:rPr>
                <w:rFonts w:hint="eastAsia" w:ascii="宋体" w:hAnsi="宋体"/>
              </w:rPr>
              <w:t>住区热环境TERA2020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>
              <w:t>20200505(SP1)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>
              <w:t>T13360941688</w:t>
            </w:r>
            <w:bookmarkEnd w:id="9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10" w:name="目录"/>
      <w:bookmarkEnd w:id="10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住区概况</w:t>
      </w:r>
      <w:r>
        <w:tab/>
      </w:r>
      <w:r>
        <w:fldChar w:fldCharType="begin"/>
      </w:r>
      <w:r>
        <w:instrText xml:space="preserve"> PAGEREF _Toc126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_Toc3014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_Toc3014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_Toc12050 </w:instrText>
      </w:r>
      <w:r>
        <w:fldChar w:fldCharType="separate"/>
      </w:r>
      <w:r>
        <w:rPr>
          <w:rFonts w:hint="eastAsia"/>
        </w:rPr>
        <w:t>3 计算规定</w:t>
      </w:r>
      <w:r>
        <w:tab/>
      </w:r>
      <w:r>
        <w:fldChar w:fldCharType="begin"/>
      </w:r>
      <w:r>
        <w:instrText xml:space="preserve"> PAGEREF _Toc12050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_Toc29554 </w:instrText>
      </w:r>
      <w:r>
        <w:fldChar w:fldCharType="separate"/>
      </w:r>
      <w:r>
        <w:rPr>
          <w:rFonts w:hint="eastAsia"/>
          <w:lang w:val="en-GB"/>
        </w:rPr>
        <w:t xml:space="preserve">3.1 </w:t>
      </w:r>
      <w:r>
        <w:rPr>
          <w:rFonts w:hint="eastAsia"/>
        </w:rPr>
        <w:t>强制条文</w:t>
      </w:r>
      <w:r>
        <w:tab/>
      </w:r>
      <w:r>
        <w:fldChar w:fldCharType="begin"/>
      </w:r>
      <w:r>
        <w:instrText xml:space="preserve"> PAGEREF _Toc29554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_Toc25204 </w:instrText>
      </w:r>
      <w:r>
        <w:fldChar w:fldCharType="separate"/>
      </w:r>
      <w:r>
        <w:rPr>
          <w:rFonts w:hint="eastAsia"/>
          <w:lang w:val="en-GB"/>
        </w:rPr>
        <w:t xml:space="preserve">3.2 </w:t>
      </w:r>
      <w:r>
        <w:rPr>
          <w:rFonts w:hint="eastAsia"/>
        </w:rPr>
        <w:t>规定性设计</w:t>
      </w:r>
      <w:r>
        <w:tab/>
      </w:r>
      <w:r>
        <w:fldChar w:fldCharType="begin"/>
      </w:r>
      <w:r>
        <w:instrText xml:space="preserve"> PAGEREF _Toc25204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_Toc19515 </w:instrText>
      </w:r>
      <w:r>
        <w:fldChar w:fldCharType="separate"/>
      </w:r>
      <w:r>
        <w:rPr>
          <w:rFonts w:hint="eastAsia"/>
        </w:rPr>
        <w:t>4 计算参数</w:t>
      </w:r>
      <w:r>
        <w:tab/>
      </w:r>
      <w:r>
        <w:fldChar w:fldCharType="begin"/>
      </w:r>
      <w:r>
        <w:instrText xml:space="preserve"> PAGEREF _Toc19515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_Toc26865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典型气象日气象参数</w:t>
      </w:r>
      <w:r>
        <w:tab/>
      </w:r>
      <w:r>
        <w:fldChar w:fldCharType="begin"/>
      </w:r>
      <w:r>
        <w:instrText xml:space="preserve"> PAGEREF _Toc26865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_Toc18785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渗透面夏季逐时蒸发量</w:t>
      </w:r>
      <w:r>
        <w:tab/>
      </w:r>
      <w:r>
        <w:fldChar w:fldCharType="begin"/>
      </w:r>
      <w:r>
        <w:instrText xml:space="preserve"> PAGEREF _Toc18785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_Toc30279 </w:instrText>
      </w:r>
      <w:r>
        <w:fldChar w:fldCharType="separate"/>
      </w:r>
      <w:r>
        <w:rPr>
          <w:rFonts w:hint="eastAsia"/>
        </w:rPr>
        <w:t>5 住区指标概览</w:t>
      </w:r>
      <w:r>
        <w:tab/>
      </w:r>
      <w:r>
        <w:fldChar w:fldCharType="begin"/>
      </w:r>
      <w:r>
        <w:instrText xml:space="preserve"> PAGEREF _Toc30279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_Toc28454 </w:instrText>
      </w:r>
      <w:r>
        <w:fldChar w:fldCharType="separate"/>
      </w:r>
      <w:r>
        <w:rPr>
          <w:rFonts w:hint="eastAsia"/>
        </w:rPr>
        <w:t>6 规定性设计指标</w:t>
      </w:r>
      <w:r>
        <w:tab/>
      </w:r>
      <w:r>
        <w:fldChar w:fldCharType="begin"/>
      </w:r>
      <w:r>
        <w:instrText xml:space="preserve"> PAGEREF _Toc28454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_Toc1860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rPr>
          <w:rFonts w:hint="eastAsia"/>
        </w:rPr>
        <w:t>平均迎风面积比</w:t>
      </w:r>
      <w:r>
        <w:tab/>
      </w:r>
      <w:r>
        <w:fldChar w:fldCharType="begin"/>
      </w:r>
      <w:r>
        <w:instrText xml:space="preserve"> PAGEREF _Toc1860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_Toc29290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rPr>
          <w:rFonts w:hint="eastAsia"/>
        </w:rPr>
        <w:t>活动场地遮阳覆盖率</w:t>
      </w:r>
      <w:r>
        <w:tab/>
      </w:r>
      <w:r>
        <w:fldChar w:fldCharType="begin"/>
      </w:r>
      <w:r>
        <w:instrText xml:space="preserve"> PAGEREF _Toc29290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_Toc9068 </w:instrText>
      </w:r>
      <w:r>
        <w:fldChar w:fldCharType="separate"/>
      </w:r>
      <w:r>
        <w:rPr>
          <w:rFonts w:hint="eastAsia"/>
          <w:lang w:val="en-GB"/>
        </w:rPr>
        <w:t xml:space="preserve">6.3 </w:t>
      </w:r>
      <w:r>
        <w:rPr>
          <w:rFonts w:hint="eastAsia"/>
        </w:rPr>
        <w:t>底层通风架空率</w:t>
      </w:r>
      <w:r>
        <w:tab/>
      </w:r>
      <w:r>
        <w:fldChar w:fldCharType="begin"/>
      </w:r>
      <w:r>
        <w:instrText xml:space="preserve"> PAGEREF _Toc9068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_Toc21048 </w:instrText>
      </w:r>
      <w:r>
        <w:fldChar w:fldCharType="separate"/>
      </w:r>
      <w:r>
        <w:rPr>
          <w:rFonts w:hint="eastAsia"/>
          <w:lang w:val="en-GB"/>
        </w:rPr>
        <w:t xml:space="preserve">6.4 </w:t>
      </w:r>
      <w:r>
        <w:rPr>
          <w:rFonts w:hint="eastAsia"/>
        </w:rPr>
        <w:t>绿化遮阳体叶面积指数</w:t>
      </w:r>
      <w:r>
        <w:tab/>
      </w:r>
      <w:r>
        <w:fldChar w:fldCharType="begin"/>
      </w:r>
      <w:r>
        <w:instrText xml:space="preserve"> PAGEREF _Toc21048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_Toc29902 </w:instrText>
      </w:r>
      <w:r>
        <w:fldChar w:fldCharType="separate"/>
      </w:r>
      <w:r>
        <w:rPr>
          <w:rFonts w:hint="eastAsia"/>
          <w:lang w:val="en-GB"/>
        </w:rPr>
        <w:t xml:space="preserve">6.5 </w:t>
      </w:r>
      <w:r>
        <w:rPr>
          <w:rFonts w:hint="eastAsia"/>
        </w:rPr>
        <w:t>渗透蒸发指标</w:t>
      </w:r>
      <w:r>
        <w:tab/>
      </w:r>
      <w:r>
        <w:fldChar w:fldCharType="begin"/>
      </w:r>
      <w:r>
        <w:instrText xml:space="preserve"> PAGEREF _Toc29902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_Toc25297 </w:instrText>
      </w:r>
      <w:r>
        <w:fldChar w:fldCharType="separate"/>
      </w:r>
      <w:r>
        <w:rPr>
          <w:rFonts w:hint="eastAsia"/>
          <w:lang w:val="en-GB"/>
        </w:rPr>
        <w:t xml:space="preserve">6.6 </w:t>
      </w:r>
      <w:r>
        <w:rPr>
          <w:rFonts w:hint="eastAsia"/>
        </w:rPr>
        <w:t>屋面绿化率</w:t>
      </w:r>
      <w:r>
        <w:tab/>
      </w:r>
      <w:r>
        <w:fldChar w:fldCharType="begin"/>
      </w:r>
      <w:r>
        <w:instrText xml:space="preserve"> PAGEREF _Toc25297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_Toc12134 </w:instrText>
      </w:r>
      <w:r>
        <w:fldChar w:fldCharType="separate"/>
      </w:r>
      <w:r>
        <w:rPr>
          <w:rFonts w:hint="eastAsia"/>
        </w:rPr>
        <w:t>7 结论</w:t>
      </w:r>
      <w:r>
        <w:tab/>
      </w:r>
      <w:r>
        <w:fldChar w:fldCharType="begin"/>
      </w:r>
      <w:r>
        <w:instrText xml:space="preserve"> PAGEREF _Toc12134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>
      <w:pPr>
        <w:pStyle w:val="16"/>
      </w:pPr>
    </w:p>
    <w:p>
      <w:pPr>
        <w:pStyle w:val="2"/>
      </w:pPr>
      <w:bookmarkStart w:id="11" w:name="_Toc126"/>
      <w:r>
        <w:rPr>
          <w:rFonts w:hint="eastAsia"/>
        </w:rPr>
        <w:t>住区概况</w:t>
      </w:r>
      <w:bookmarkEnd w:id="11"/>
    </w:p>
    <w:tbl>
      <w:tblPr>
        <w:tblStyle w:val="20"/>
        <w:tblpPr w:leftFromText="180" w:rightFromText="180" w:vertAnchor="text" w:horzAnchor="margin" w:tblpXSpec="center" w:tblpY="191"/>
        <w:tblW w:w="4885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3114"/>
        <w:gridCol w:w="31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tcBorders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工程名称1"/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tcBorders>
              <w:top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3" w:name="工程地点"/>
            <w:r>
              <w:t>深圳</w:t>
            </w:r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t>22.55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3" w:type="dxa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t>114.12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建筑气候区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气候区"/>
            <w:r>
              <w:t>IVA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主导风向</w:t>
            </w:r>
          </w:p>
        </w:tc>
        <w:tc>
          <w:tcPr>
            <w:tcW w:w="6065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主导风向"/>
            <w:r>
              <w:t>东南</w:t>
            </w:r>
            <w:bookmarkEnd w:id="17"/>
          </w:p>
        </w:tc>
      </w:tr>
    </w:tbl>
    <w:p>
      <w:pPr>
        <w:pStyle w:val="3"/>
        <w:ind w:firstLine="420"/>
        <w:rPr>
          <w:lang w:val="en-US"/>
        </w:rPr>
      </w:pPr>
    </w:p>
    <w:p>
      <w:pPr>
        <w:pStyle w:val="2"/>
      </w:pPr>
      <w:bookmarkStart w:id="48" w:name="_GoBack"/>
      <w:bookmarkEnd w:id="48"/>
      <w:bookmarkStart w:id="18" w:name="总图鸟瞰图"/>
      <w:bookmarkEnd w:id="18"/>
      <w:bookmarkStart w:id="19" w:name="_Toc19515"/>
      <w:r>
        <w:rPr>
          <w:rFonts w:hint="eastAsia"/>
        </w:rPr>
        <w:t>计算参数</w:t>
      </w:r>
      <w:bookmarkEnd w:id="19"/>
    </w:p>
    <w:p>
      <w:pPr>
        <w:pStyle w:val="4"/>
      </w:pPr>
      <w:bookmarkStart w:id="20" w:name="_Toc26865"/>
      <w:r>
        <w:rPr>
          <w:rFonts w:hint="eastAsia"/>
        </w:rPr>
        <w:t>典型气象日气象参数</w:t>
      </w:r>
      <w:bookmarkEnd w:id="20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341"/>
        <w:gridCol w:w="1341"/>
        <w:gridCol w:w="1341"/>
        <w:gridCol w:w="1341"/>
        <w:gridCol w:w="1341"/>
        <w:gridCol w:w="134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干球温度</w:t>
            </w:r>
            <w:r>
              <w:br w:type="textWrapping"/>
            </w:r>
            <w:r>
              <w:t>(℃)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相对湿度(%)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水平总辐射照度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水平散射辐射照度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风速(m/s)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主导风向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</w:t>
            </w:r>
          </w:p>
        </w:tc>
        <w:tc>
          <w:tcPr>
            <w:vMerge w:val="restart"/>
            <w:vAlign w:val="center"/>
          </w:tcPr>
          <w:p>
            <w:pPr>
              <w:jc w:val="center"/>
            </w:pPr>
            <w:r>
              <w:t>东南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1.3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38.89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122.22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86.11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216.67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29.0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308.33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172.22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29.7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388.89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202.78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444.44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225.00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466.67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31.1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450.00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227.78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31.0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397.22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208.33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319.44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175.00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225.00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29.4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130.56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47.22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33.33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27.1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1.3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26.4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90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日平均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28.2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77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148.15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81.13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1.5</w:t>
            </w:r>
          </w:p>
        </w:tc>
        <w:tc>
          <w:tcPr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pStyle w:val="3"/>
        <w:ind w:firstLine="0" w:firstLineChars="0"/>
        <w:rPr>
          <w:lang w:val="en-US"/>
        </w:rPr>
      </w:pPr>
      <w:bookmarkStart w:id="21" w:name="气象参数"/>
      <w:bookmarkEnd w:id="21"/>
    </w:p>
    <w:p>
      <w:pPr>
        <w:pStyle w:val="4"/>
      </w:pPr>
      <w:bookmarkStart w:id="22" w:name="_Toc18785"/>
      <w:r>
        <w:rPr>
          <w:rFonts w:hint="eastAsia"/>
        </w:rPr>
        <w:t>渗透面夏季逐时蒸发量</w:t>
      </w:r>
      <w:bookmarkEnd w:id="22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水面(kg/(㎡.h))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绿地(kg/(㎡.h))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渗透型硬地</w:t>
            </w:r>
            <w:r>
              <w:br w:type="textWrapping"/>
            </w:r>
            <w:r>
              <w:t>(kg/(㎡.h))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绿化屋面</w:t>
            </w:r>
            <w:r>
              <w:br w:type="textWrapping"/>
            </w:r>
            <w:r>
              <w:t>(kg/(㎡.h))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0.89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0.50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1.03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0.92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0.78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0.60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0.39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0.28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日累计(kg/(㎡.d))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10.06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6.03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1.30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4.80</w:t>
            </w:r>
          </w:p>
        </w:tc>
      </w:tr>
    </w:tbl>
    <w:p>
      <w:pPr>
        <w:pStyle w:val="3"/>
        <w:ind w:firstLine="0" w:firstLineChars="0"/>
        <w:rPr>
          <w:lang w:val="en-US"/>
        </w:rPr>
      </w:pPr>
      <w:bookmarkStart w:id="23" w:name="蒸发量参数"/>
      <w:bookmarkEnd w:id="23"/>
    </w:p>
    <w:p>
      <w:pPr>
        <w:pStyle w:val="2"/>
      </w:pPr>
      <w:bookmarkStart w:id="24" w:name="_Toc30279"/>
      <w:r>
        <w:rPr>
          <w:rFonts w:hint="eastAsia"/>
        </w:rPr>
        <w:t>住区指标概览</w:t>
      </w:r>
      <w:bookmarkEnd w:id="24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6"/>
        <w:gridCol w:w="46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地块面积(㎡)</w:t>
            </w:r>
          </w:p>
        </w:tc>
        <w:tc>
          <w:tcPr>
            <w:vAlign w:val="center"/>
          </w:tcPr>
          <w:p>
            <w:r>
              <w:t>33610.72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建筑密度</w:t>
            </w:r>
          </w:p>
        </w:tc>
        <w:tc>
          <w:tcPr>
            <w:vAlign w:val="center"/>
          </w:tcPr>
          <w:p>
            <w:r>
              <w:t>0.25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室外面积(㎡)</w:t>
            </w:r>
          </w:p>
        </w:tc>
        <w:tc>
          <w:tcPr>
            <w:vAlign w:val="center"/>
          </w:tcPr>
          <w:p>
            <w:r>
              <w:t>25256.53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广场面积(㎡)</w:t>
            </w:r>
          </w:p>
        </w:tc>
        <w:tc>
          <w:tcPr>
            <w:vAlign w:val="center"/>
          </w:tcPr>
          <w:p>
            <w:r>
              <w:t>2810.92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道路面积(㎡)</w:t>
            </w:r>
          </w:p>
        </w:tc>
        <w:tc>
          <w:tcPr>
            <w:vAlign w:val="center"/>
          </w:tcPr>
          <w:p>
            <w:r>
              <w:t>9717.52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绿地面积(㎡)</w:t>
            </w:r>
          </w:p>
        </w:tc>
        <w:tc>
          <w:tcPr>
            <w:vAlign w:val="center"/>
          </w:tcPr>
          <w:p>
            <w:r>
              <w:t>8067.19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水面面积(㎡)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绿化屋面面积(㎡)</w:t>
            </w:r>
          </w:p>
        </w:tc>
        <w:tc>
          <w:tcPr>
            <w:vAlign w:val="center"/>
          </w:tcPr>
          <w:p>
            <w:r>
              <w:t>6752.94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乔木爬藤面积(㎡)</w:t>
            </w:r>
          </w:p>
        </w:tc>
        <w:tc>
          <w:tcPr>
            <w:vAlign w:val="center"/>
          </w:tcPr>
          <w:p>
            <w:r>
              <w:t>8302.68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亭廊面积(㎡)</w:t>
            </w:r>
          </w:p>
        </w:tc>
        <w:tc>
          <w:tcPr>
            <w:vAlign w:val="center"/>
          </w:tcPr>
          <w:p>
            <w:r>
              <w:t>204.85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渗透型硬地面积(㎡)</w:t>
            </w:r>
          </w:p>
        </w:tc>
        <w:tc>
          <w:tcPr>
            <w:vAlign w:val="center"/>
          </w:tcPr>
          <w:p>
            <w:r>
              <w:t>13827.64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地表平均太阳辐射吸收系数</w:t>
            </w:r>
          </w:p>
        </w:tc>
        <w:tc>
          <w:tcPr>
            <w:vAlign w:val="center"/>
          </w:tcPr>
          <w:p>
            <w:r>
              <w:t>0.76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地面粗糙系数</w:t>
            </w:r>
          </w:p>
        </w:tc>
        <w:tc>
          <w:tcPr>
            <w:vAlign w:val="center"/>
          </w:tcPr>
          <w:p>
            <w:r>
              <w:t>0.30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平均迎风面积比</w:t>
            </w:r>
          </w:p>
        </w:tc>
        <w:tc>
          <w:tcPr>
            <w:vAlign w:val="center"/>
          </w:tcPr>
          <w:p>
            <w:r>
              <w:t>0.94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CTTC居住区热时间常数(h)</w:t>
            </w:r>
          </w:p>
        </w:tc>
        <w:tc>
          <w:tcPr>
            <w:vAlign w:val="center"/>
          </w:tcPr>
          <w:p>
            <w:r>
              <w:t>13.23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绿化遮阳覆盖率(%)</w:t>
            </w:r>
          </w:p>
        </w:tc>
        <w:tc>
          <w:tcPr>
            <w:vAlign w:val="center"/>
          </w:tcPr>
          <w:p>
            <w:r>
              <w:t>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构筑物遮阳覆盖率(%)</w:t>
            </w:r>
          </w:p>
        </w:tc>
        <w:tc>
          <w:tcPr>
            <w:vAlign w:val="center"/>
          </w:tcPr>
          <w:p>
            <w: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平均天空角系数</w:t>
            </w:r>
          </w:p>
        </w:tc>
        <w:tc>
          <w:tcPr>
            <w:vAlign w:val="center"/>
          </w:tcPr>
          <w:p>
            <w:r>
              <w:t>0.62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通风架空率(%)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25" w:name="住区指标概览"/>
      <w:bookmarkEnd w:id="25"/>
    </w:p>
    <w:p>
      <w:pPr>
        <w:pStyle w:val="2"/>
      </w:pPr>
      <w:bookmarkStart w:id="26" w:name="_Toc28454"/>
      <w:r>
        <w:rPr>
          <w:rFonts w:hint="eastAsia"/>
        </w:rPr>
        <w:t>规定性设计指标</w:t>
      </w:r>
      <w:bookmarkEnd w:id="26"/>
    </w:p>
    <w:p>
      <w:pPr>
        <w:pStyle w:val="4"/>
      </w:pPr>
      <w:bookmarkStart w:id="27" w:name="_Toc1860"/>
      <w:r>
        <w:rPr>
          <w:rFonts w:hint="eastAsia"/>
        </w:rPr>
        <w:t>平均迎风面积比</w:t>
      </w:r>
      <w:bookmarkEnd w:id="27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迎风面积(㎡)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最大可能</w:t>
            </w:r>
            <w:r>
              <w:br w:type="textWrapping"/>
            </w:r>
            <w:r>
              <w:t>迎风面积(㎡)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最大可能</w:t>
            </w:r>
            <w:r>
              <w:br w:type="textWrapping"/>
            </w:r>
            <w:r>
              <w:t>迎风方向(°)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迎风面积比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A-4</w:t>
            </w:r>
          </w:p>
        </w:tc>
        <w:tc>
          <w:tcPr>
            <w:vAlign w:val="center"/>
          </w:tcPr>
          <w:p>
            <w:r>
              <w:t>204.78</w:t>
            </w:r>
          </w:p>
        </w:tc>
        <w:tc>
          <w:tcPr>
            <w:vAlign w:val="center"/>
          </w:tcPr>
          <w:p>
            <w:r>
              <w:t>214.38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0.9552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A-5</w:t>
            </w:r>
          </w:p>
        </w:tc>
        <w:tc>
          <w:tcPr>
            <w:vAlign w:val="center"/>
          </w:tcPr>
          <w:p>
            <w:r>
              <w:t>272.17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A-6</w:t>
            </w:r>
          </w:p>
        </w:tc>
        <w:tc>
          <w:tcPr>
            <w:vAlign w:val="center"/>
          </w:tcPr>
          <w:p>
            <w:r>
              <w:t>326.61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A-7</w:t>
            </w:r>
          </w:p>
        </w:tc>
        <w:tc>
          <w:tcPr>
            <w:vAlign w:val="center"/>
          </w:tcPr>
          <w:p>
            <w:r>
              <w:t>429.74</w:t>
            </w:r>
          </w:p>
        </w:tc>
        <w:tc>
          <w:tcPr>
            <w:vAlign w:val="center"/>
          </w:tcPr>
          <w:p>
            <w:r>
              <w:t>429.74</w:t>
            </w:r>
          </w:p>
        </w:tc>
        <w:tc>
          <w:tcPr>
            <w:vAlign w:val="center"/>
          </w:tcPr>
          <w:p>
            <w:r>
              <w:t>140.00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A-8</w:t>
            </w:r>
          </w:p>
        </w:tc>
        <w:tc>
          <w:tcPr>
            <w:vAlign w:val="center"/>
          </w:tcPr>
          <w:p>
            <w:r>
              <w:t>1143.52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100.00</w:t>
            </w:r>
          </w:p>
        </w:tc>
        <w:tc>
          <w:tcPr>
            <w:vAlign w:val="center"/>
          </w:tcPr>
          <w:p>
            <w:r>
              <w:t>0.7766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B-4</w:t>
            </w:r>
          </w:p>
        </w:tc>
        <w:tc>
          <w:tcPr>
            <w:vAlign w:val="center"/>
          </w:tcPr>
          <w:p>
            <w:r>
              <w:t>210.94</w:t>
            </w:r>
          </w:p>
        </w:tc>
        <w:tc>
          <w:tcPr>
            <w:vAlign w:val="center"/>
          </w:tcPr>
          <w:p>
            <w:r>
              <w:t>216.38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0.9749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B-5</w:t>
            </w:r>
          </w:p>
        </w:tc>
        <w:tc>
          <w:tcPr>
            <w:vAlign w:val="center"/>
          </w:tcPr>
          <w:p>
            <w:r>
              <w:t>263.68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B-6</w:t>
            </w:r>
          </w:p>
        </w:tc>
        <w:tc>
          <w:tcPr>
            <w:vAlign w:val="center"/>
          </w:tcPr>
          <w:p>
            <w:r>
              <w:t>316.41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B-7</w:t>
            </w:r>
          </w:p>
        </w:tc>
        <w:tc>
          <w:tcPr>
            <w:vAlign w:val="center"/>
          </w:tcPr>
          <w:p>
            <w:r>
              <w:t>369.15</w:t>
            </w:r>
          </w:p>
        </w:tc>
        <w:tc>
          <w:tcPr>
            <w:vAlign w:val="center"/>
          </w:tcPr>
          <w:p>
            <w:r>
              <w:t>403.20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0.9155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B-8</w:t>
            </w:r>
          </w:p>
        </w:tc>
        <w:tc>
          <w:tcPr>
            <w:vAlign w:val="center"/>
          </w:tcPr>
          <w:p>
            <w:r>
              <w:t>1143.52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100.00</w:t>
            </w:r>
          </w:p>
        </w:tc>
        <w:tc>
          <w:tcPr>
            <w:vAlign w:val="center"/>
          </w:tcPr>
          <w:p>
            <w:r>
              <w:t>0.7766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C-4</w:t>
            </w:r>
          </w:p>
        </w:tc>
        <w:tc>
          <w:tcPr>
            <w:vAlign w:val="center"/>
          </w:tcPr>
          <w:p>
            <w:r>
              <w:t>210.94</w:t>
            </w:r>
          </w:p>
        </w:tc>
        <w:tc>
          <w:tcPr>
            <w:vAlign w:val="center"/>
          </w:tcPr>
          <w:p>
            <w:r>
              <w:t>214.38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r>
              <w:t>0.9839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C-5</w:t>
            </w:r>
          </w:p>
        </w:tc>
        <w:tc>
          <w:tcPr>
            <w:vAlign w:val="center"/>
          </w:tcPr>
          <w:p>
            <w:r>
              <w:t>263.68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C-6</w:t>
            </w:r>
          </w:p>
        </w:tc>
        <w:tc>
          <w:tcPr>
            <w:vAlign w:val="center"/>
          </w:tcPr>
          <w:p>
            <w:r>
              <w:t>316.41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30.00</w:t>
            </w:r>
          </w:p>
        </w:tc>
        <w:tc>
          <w:tcPr>
            <w:vAlign w:val="center"/>
          </w:tcPr>
          <w:p>
            <w:r>
              <w:t>0.9413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C-7</w:t>
            </w:r>
          </w:p>
        </w:tc>
        <w:tc>
          <w:tcPr>
            <w:vAlign w:val="center"/>
          </w:tcPr>
          <w:p>
            <w:r>
              <w:t>369.15</w:t>
            </w:r>
          </w:p>
        </w:tc>
        <w:tc>
          <w:tcPr>
            <w:vAlign w:val="center"/>
          </w:tcPr>
          <w:p>
            <w:r>
              <w:t>429.74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0.8590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C-8</w:t>
            </w:r>
          </w:p>
        </w:tc>
        <w:tc>
          <w:tcPr>
            <w:vAlign w:val="center"/>
          </w:tcPr>
          <w:p>
            <w:r>
              <w:t>1141.37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80.00</w:t>
            </w:r>
          </w:p>
        </w:tc>
        <w:tc>
          <w:tcPr>
            <w:vAlign w:val="center"/>
          </w:tcPr>
          <w:p>
            <w:r>
              <w:t>0.7751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D-4</w:t>
            </w:r>
          </w:p>
        </w:tc>
        <w:tc>
          <w:tcPr>
            <w:vAlign w:val="center"/>
          </w:tcPr>
          <w:p>
            <w:r>
              <w:t>210.02</w:t>
            </w:r>
          </w:p>
        </w:tc>
        <w:tc>
          <w:tcPr>
            <w:vAlign w:val="center"/>
          </w:tcPr>
          <w:p>
            <w:r>
              <w:t>216.38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r>
              <w:t>0.9706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D-5</w:t>
            </w:r>
          </w:p>
        </w:tc>
        <w:tc>
          <w:tcPr>
            <w:vAlign w:val="center"/>
          </w:tcPr>
          <w:p>
            <w:r>
              <w:t>272.17</w:t>
            </w:r>
          </w:p>
        </w:tc>
        <w:tc>
          <w:tcPr>
            <w:vAlign w:val="center"/>
          </w:tcPr>
          <w:p>
            <w:r>
              <w:t>280.11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D-6</w:t>
            </w:r>
          </w:p>
        </w:tc>
        <w:tc>
          <w:tcPr>
            <w:vAlign w:val="center"/>
          </w:tcPr>
          <w:p>
            <w:r>
              <w:t>326.61</w:t>
            </w:r>
          </w:p>
        </w:tc>
        <w:tc>
          <w:tcPr>
            <w:vAlign w:val="center"/>
          </w:tcPr>
          <w:p>
            <w:r>
              <w:t>336.13</w:t>
            </w:r>
          </w:p>
        </w:tc>
        <w:tc>
          <w:tcPr>
            <w:vAlign w:val="center"/>
          </w:tcPr>
          <w:p>
            <w:r>
              <w:t>150.00</w:t>
            </w:r>
          </w:p>
        </w:tc>
        <w:tc>
          <w:tcPr>
            <w:vAlign w:val="center"/>
          </w:tcPr>
          <w:p>
            <w:r>
              <w:t>0.9717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D-7</w:t>
            </w:r>
          </w:p>
        </w:tc>
        <w:tc>
          <w:tcPr>
            <w:vAlign w:val="center"/>
          </w:tcPr>
          <w:p>
            <w:r>
              <w:t>403.20</w:t>
            </w:r>
          </w:p>
        </w:tc>
        <w:tc>
          <w:tcPr>
            <w:vAlign w:val="center"/>
          </w:tcPr>
          <w:p>
            <w:r>
              <w:t>403.20</w:t>
            </w:r>
          </w:p>
        </w:tc>
        <w:tc>
          <w:tcPr>
            <w:vAlign w:val="center"/>
          </w:tcPr>
          <w:p>
            <w:r>
              <w:t>140.00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D-8</w:t>
            </w:r>
          </w:p>
        </w:tc>
        <w:tc>
          <w:tcPr>
            <w:vAlign w:val="center"/>
          </w:tcPr>
          <w:p>
            <w:r>
              <w:t>1141.37</w:t>
            </w:r>
          </w:p>
        </w:tc>
        <w:tc>
          <w:tcPr>
            <w:vAlign w:val="center"/>
          </w:tcPr>
          <w:p>
            <w:r>
              <w:t>1472.47</w:t>
            </w:r>
          </w:p>
        </w:tc>
        <w:tc>
          <w:tcPr>
            <w:vAlign w:val="center"/>
          </w:tcPr>
          <w:p>
            <w:r>
              <w:t>80.00</w:t>
            </w:r>
          </w:p>
        </w:tc>
        <w:tc>
          <w:tcPr>
            <w:vAlign w:val="center"/>
          </w:tcPr>
          <w:p>
            <w:r>
              <w:t>0.7751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Z-1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Z-2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Z-3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140.00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523.64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8-1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8-2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598.45</w:t>
            </w:r>
          </w:p>
        </w:tc>
        <w:tc>
          <w:tcPr>
            <w:vAlign w:val="center"/>
          </w:tcPr>
          <w:p>
            <w:r>
              <w:t>40.00</w:t>
            </w:r>
          </w:p>
        </w:tc>
        <w:tc>
          <w:tcPr>
            <w:vAlign w:val="center"/>
          </w:tcPr>
          <w:p>
            <w:r>
              <w:t>1.0000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平均迎风面积比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  <w:color w:val="FF0000"/>
              </w:rPr>
              <w:t>0.939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《城市居住区热环境设计标准》4.1.1条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平均迎风面积比≤0.70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  <w:color w:val="FF0000"/>
              </w:rPr>
              <w:t>不满足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28" w:name="平均迎风面积比"/>
      <w:bookmarkEnd w:id="28"/>
    </w:p>
    <w:p>
      <w:pPr>
        <w:pStyle w:val="4"/>
      </w:pPr>
      <w:bookmarkStart w:id="29" w:name="_Toc29290"/>
      <w:r>
        <w:rPr>
          <w:rFonts w:hint="eastAsia"/>
        </w:rPr>
        <w:t>活动场地遮阳覆盖率</w:t>
      </w:r>
      <w:bookmarkEnd w:id="29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场地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场地面积(㎡)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遮阳覆盖率(%)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覆盖率限值(%)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</w:t>
            </w:r>
          </w:p>
        </w:tc>
        <w:tc>
          <w:tcPr>
            <w:vAlign w:val="center"/>
          </w:tcPr>
          <w:p>
            <w:r>
              <w:t>1014.3</w:t>
            </w:r>
          </w:p>
        </w:tc>
        <w:tc>
          <w:tcPr>
            <w:vAlign w:val="center"/>
          </w:tcPr>
          <w:p>
            <w:r>
              <w:t>2811.0</w:t>
            </w:r>
          </w:p>
        </w:tc>
        <w:tc>
          <w:tcPr>
            <w:vAlign w:val="center"/>
          </w:tcPr>
          <w:p>
            <w:r>
              <w:t>36</w:t>
            </w:r>
          </w:p>
        </w:tc>
        <w:tc>
          <w:tcPr>
            <w:vAlign w:val="center"/>
          </w:tcPr>
          <w:p>
            <w:r>
              <w:t>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游憩场</w:t>
            </w:r>
          </w:p>
        </w:tc>
        <w:tc>
          <w:tcPr>
            <w:vAlign w:val="center"/>
          </w:tcPr>
          <w:p>
            <w:r>
              <w:t>1088.4</w:t>
            </w:r>
          </w:p>
        </w:tc>
        <w:tc>
          <w:tcPr>
            <w:vAlign w:val="center"/>
          </w:tcPr>
          <w:p>
            <w:r>
              <w:t>1916.4</w:t>
            </w:r>
          </w:p>
        </w:tc>
        <w:tc>
          <w:tcPr>
            <w:vAlign w:val="center"/>
          </w:tcPr>
          <w:p>
            <w:r>
              <w:t>57</w:t>
            </w:r>
          </w:p>
        </w:tc>
        <w:tc>
          <w:tcPr>
            <w:vAlign w:val="center"/>
          </w:tcPr>
          <w:p>
            <w:r>
              <w:t>30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人行道</w:t>
            </w:r>
          </w:p>
        </w:tc>
        <w:tc>
          <w:tcPr>
            <w:vAlign w:val="center"/>
          </w:tcPr>
          <w:p>
            <w:r>
              <w:t>5006.2</w:t>
            </w:r>
          </w:p>
        </w:tc>
        <w:tc>
          <w:tcPr>
            <w:vAlign w:val="center"/>
          </w:tcPr>
          <w:p>
            <w:r>
              <w:t>9902.5</w:t>
            </w:r>
          </w:p>
        </w:tc>
        <w:tc>
          <w:tcPr>
            <w:vAlign w:val="center"/>
          </w:tcPr>
          <w:p>
            <w:r>
              <w:t>51</w:t>
            </w:r>
          </w:p>
        </w:tc>
        <w:tc>
          <w:tcPr>
            <w:vAlign w:val="center"/>
          </w:tcPr>
          <w:p>
            <w:r>
              <w:t>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《城市居住区热环境设计标准》4.2.1条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各类活动场地遮阳覆盖率不得低于标准要求限值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rPr>
                <w:b/>
              </w:rPr>
              <w:t>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0" w:name="活动场地遮阳覆盖率"/>
      <w:bookmarkEnd w:id="30"/>
    </w:p>
    <w:p>
      <w:pPr>
        <w:pStyle w:val="4"/>
      </w:pPr>
      <w:bookmarkStart w:id="31" w:name="_Toc9068"/>
      <w:r>
        <w:rPr>
          <w:rFonts w:hint="eastAsia"/>
        </w:rPr>
        <w:t>底层通风架空率</w:t>
      </w:r>
      <w:bookmarkEnd w:id="31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底层架空面积(㎡)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基底面积(㎡)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迎风面宽度(m)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底层通风架空率(%)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18.4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22.6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56.5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19.1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56.1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D-6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D-7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D-8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56.1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Z-2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Z-3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Z-4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27.6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8-2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t>0.0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t>《城市居住区热环境设计标准》4.1.4条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t>III、IV、V气候区，夏季主导风向迎风面积宽度超过80m时，底层通风架空率不应小于10%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t>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2" w:name="底层通风架空率"/>
      <w:bookmarkEnd w:id="32"/>
    </w:p>
    <w:p>
      <w:pPr>
        <w:pStyle w:val="4"/>
      </w:pPr>
      <w:bookmarkStart w:id="33" w:name="_Toc21048"/>
      <w:r>
        <w:rPr>
          <w:rFonts w:hint="eastAsia"/>
        </w:rPr>
        <w:t>绿化遮阳体叶面积指数</w:t>
      </w:r>
      <w:bookmarkEnd w:id="33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遮阳体类型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叶面积指数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r>
              <w:t>乔木</w:t>
            </w:r>
          </w:p>
        </w:tc>
        <w:tc>
          <w:tcPr>
            <w:vAlign w:val="center"/>
          </w:tcPr>
          <w:p>
            <w:r>
              <w:t>LAI&gt;3</w:t>
            </w:r>
          </w:p>
        </w:tc>
        <w:tc>
          <w:tcPr>
            <w:vAlign w:val="center"/>
          </w:tcPr>
          <w:p>
            <w:r>
              <w:t>11065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2.0&lt;LAI&lt;=3.0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1.0&lt;LAI&lt;=2.0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0.5&lt;LAI&lt;=1.0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LAI&lt;=0.5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r>
              <w:t>爬藤棚架</w:t>
            </w:r>
          </w:p>
        </w:tc>
        <w:tc>
          <w:tcPr>
            <w:vAlign w:val="center"/>
          </w:tcPr>
          <w:p>
            <w:r>
              <w:t>LAI&gt;3</w:t>
            </w:r>
          </w:p>
        </w:tc>
        <w:tc>
          <w:tcPr>
            <w:vAlign w:val="center"/>
          </w:tcPr>
          <w:p>
            <w:r>
              <w:t>1810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2.0&lt;LAI&lt;=3.0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1.0&lt;LAI&lt;=2.0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0.5&lt;LAI&lt;=1.0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vAlign w:val="center"/>
          </w:tcPr>
          <w:p>
            <w:r>
              <w:t>LAI&lt;=0.5</w:t>
            </w:r>
          </w:p>
        </w:tc>
        <w:tc>
          <w:tcPr>
            <w:vAlign w:val="center"/>
          </w:tcPr>
          <w:p>
            <w: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2"/>
            <w:vAlign w:val="center"/>
          </w:tcPr>
          <w:p>
            <w:r>
              <w:t>《城市居住区热环境设计标准》4.2.3条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2"/>
            <w:vAlign w:val="center"/>
          </w:tcPr>
          <w:p>
            <w:r>
              <w:t>绿化遮阳体叶面积指数不应小于3.0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2"/>
            <w:vAlign w:val="center"/>
          </w:tcPr>
          <w:p>
            <w:r>
              <w:t>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4" w:name="绿化遮阳体叶面积指数"/>
      <w:bookmarkEnd w:id="34"/>
    </w:p>
    <w:p>
      <w:pPr>
        <w:pStyle w:val="4"/>
      </w:pPr>
      <w:bookmarkStart w:id="35" w:name="_Toc29902"/>
      <w:r>
        <w:rPr>
          <w:rFonts w:hint="eastAsia"/>
        </w:rPr>
        <w:t>渗透蒸发指标</w:t>
      </w:r>
      <w:bookmarkEnd w:id="35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地面透水系数k(mm/s)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蒸发量m</w:t>
            </w:r>
            <w:r>
              <w:br w:type="textWrapping"/>
            </w:r>
            <w:r>
              <w:t>(kg/(㎡·d))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广场</w:t>
            </w:r>
          </w:p>
        </w:tc>
        <w:tc>
          <w:tcPr>
            <w:vAlign w:val="center"/>
          </w:tcPr>
          <w:p>
            <w:r>
              <w:t>2811</w:t>
            </w:r>
          </w:p>
        </w:tc>
        <w:tc>
          <w:tcPr>
            <w:vAlign w:val="center"/>
          </w:tcPr>
          <w:p>
            <w:r>
              <w:t>0.192</w:t>
            </w:r>
          </w:p>
        </w:tc>
        <w:tc>
          <w:tcPr>
            <w:vAlign w:val="center"/>
          </w:tcPr>
          <w:p>
            <w:r>
              <w:t>3.00</w:t>
            </w:r>
          </w:p>
        </w:tc>
        <w:tc>
          <w:tcPr>
            <w:vAlign w:val="center"/>
          </w:tcPr>
          <w:p>
            <w:r>
              <w:t>1.32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游憩场</w:t>
            </w:r>
          </w:p>
        </w:tc>
        <w:tc>
          <w:tcPr>
            <w:vAlign w:val="center"/>
          </w:tcPr>
          <w:p>
            <w:r>
              <w:t>1916</w:t>
            </w:r>
          </w:p>
        </w:tc>
        <w:tc>
          <w:tcPr>
            <w:vAlign w:val="center"/>
          </w:tcPr>
          <w:p>
            <w:r>
              <w:t>0.131</w:t>
            </w:r>
          </w:p>
        </w:tc>
        <w:tc>
          <w:tcPr>
            <w:vAlign w:val="center"/>
          </w:tcPr>
          <w:p>
            <w:r>
              <w:t>2.98</w:t>
            </w:r>
          </w:p>
        </w:tc>
        <w:tc>
          <w:tcPr>
            <w:vAlign w:val="center"/>
          </w:tcPr>
          <w:p>
            <w:r>
              <w:t>1.32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人行道</w:t>
            </w:r>
          </w:p>
        </w:tc>
        <w:tc>
          <w:tcPr>
            <w:vAlign w:val="center"/>
          </w:tcPr>
          <w:p>
            <w:r>
              <w:t>9903</w:t>
            </w:r>
          </w:p>
        </w:tc>
        <w:tc>
          <w:tcPr>
            <w:vAlign w:val="center"/>
          </w:tcPr>
          <w:p>
            <w:r>
              <w:t>0.677</w:t>
            </w:r>
          </w:p>
        </w:tc>
        <w:tc>
          <w:tcPr>
            <w:vAlign w:val="center"/>
          </w:tcPr>
          <w:p>
            <w:r>
              <w:t>2.99</w:t>
            </w:r>
          </w:p>
        </w:tc>
        <w:tc>
          <w:tcPr>
            <w:vAlign w:val="center"/>
          </w:tcPr>
          <w:p>
            <w:r>
              <w:t>1.31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r>
              <w:t>14630</w:t>
            </w:r>
          </w:p>
        </w:tc>
        <w:tc>
          <w:tcPr>
            <w:vAlign w:val="center"/>
          </w:tcPr>
          <w:p>
            <w:r>
              <w:t>1.0</w:t>
            </w:r>
          </w:p>
        </w:tc>
        <w:tc>
          <w:tcPr>
            <w:vAlign w:val="center"/>
          </w:tcPr>
          <w:p>
            <w:r>
              <w:t>2.99</w:t>
            </w:r>
          </w:p>
        </w:tc>
        <w:tc>
          <w:tcPr>
            <w:vAlign w:val="center"/>
          </w:tcPr>
          <w:p>
            <w:r>
              <w:t>1.31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6" w:name="渗透蒸发指标"/>
      <w:bookmarkEnd w:id="36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渗透面积比率(%)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广场</w:t>
            </w:r>
          </w:p>
        </w:tc>
        <w:tc>
          <w:tcPr>
            <w:vAlign w:val="center"/>
          </w:tcPr>
          <w:p>
            <w:r>
              <w:t>100</w:t>
            </w:r>
          </w:p>
        </w:tc>
        <w:tc>
          <w:tcPr>
            <w:vAlign w:val="center"/>
          </w:tcPr>
          <w:p>
            <w:r>
              <w:t>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游憩场</w:t>
            </w:r>
          </w:p>
        </w:tc>
        <w:tc>
          <w:tcPr>
            <w:vAlign w:val="center"/>
          </w:tcPr>
          <w:p>
            <w:r>
              <w:t>100</w:t>
            </w:r>
          </w:p>
        </w:tc>
        <w:tc>
          <w:tcPr>
            <w:vAlign w:val="center"/>
          </w:tcPr>
          <w:p>
            <w:r>
              <w:t>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人行道</w:t>
            </w:r>
          </w:p>
        </w:tc>
        <w:tc>
          <w:tcPr>
            <w:vAlign w:val="center"/>
          </w:tcPr>
          <w:p>
            <w:r>
              <w:t>99</w:t>
            </w:r>
          </w:p>
        </w:tc>
        <w:tc>
          <w:tcPr>
            <w:vAlign w:val="center"/>
          </w:tcPr>
          <w:p>
            <w:r>
              <w:t>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pPr>
              <w:jc w:val="center"/>
            </w:pPr>
            <w:r>
              <w:t>渗透与蒸发指标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地面透水系数k(mm/s)</w:t>
            </w:r>
          </w:p>
        </w:tc>
        <w:tc>
          <w:tcPr>
            <w:vAlign w:val="center"/>
          </w:tcPr>
          <w:p>
            <w:r>
              <w:t>2.99</w:t>
            </w:r>
          </w:p>
        </w:tc>
        <w:tc>
          <w:tcPr>
            <w:vAlign w:val="center"/>
          </w:tcPr>
          <w:p>
            <w:r>
              <w:t>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蒸发量m(kg/(㎡·d))</w:t>
            </w:r>
          </w:p>
        </w:tc>
        <w:tc>
          <w:tcPr>
            <w:vAlign w:val="center"/>
          </w:tcPr>
          <w:p>
            <w:r>
              <w:t>1.31</w:t>
            </w:r>
          </w:p>
        </w:tc>
        <w:tc>
          <w:tcPr>
            <w:vAlign w:val="center"/>
          </w:tcPr>
          <w:p>
            <w:r>
              <w:t>1.3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2"/>
            <w:vAlign w:val="center"/>
          </w:tcPr>
          <w:p>
            <w:r>
              <w:t>《城市居住区热环境设计标准》4.3.1条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2"/>
            <w:vAlign w:val="center"/>
          </w:tcPr>
          <w:p>
            <w:r>
              <w:t>渗透面积比率、透水系数及蒸发量不应低于标准规定限值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2"/>
            <w:vAlign w:val="center"/>
          </w:tcPr>
          <w:p>
            <w:r>
              <w:t>满足</w:t>
            </w:r>
          </w:p>
        </w:tc>
      </w:tr>
    </w:tbl>
    <w:p>
      <w:pPr>
        <w:pStyle w:val="3"/>
        <w:ind w:firstLine="420"/>
        <w:rPr>
          <w:lang w:val="en-US"/>
        </w:rPr>
      </w:pPr>
    </w:p>
    <w:p>
      <w:pPr>
        <w:pStyle w:val="4"/>
      </w:pPr>
      <w:bookmarkStart w:id="37" w:name="_Toc25297"/>
      <w:r>
        <w:rPr>
          <w:rFonts w:hint="eastAsia"/>
        </w:rPr>
        <w:t>屋面绿化率</w:t>
      </w:r>
      <w:bookmarkEnd w:id="37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屋面轮廓面积(㎡)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屋顶绿化面积(㎡)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可绿化屋面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屋面绿化率(%)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A-4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76.2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A-5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74.3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A-6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74.3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A-7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74.3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B-4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75.8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B-5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84.8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B-6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85.3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B-7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85.3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B-8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C-4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t>76.2</w:t>
            </w:r>
          </w:p>
        </w:tc>
        <w:tc>
          <w:tcPr>
            <w:vAlign w:val="center"/>
          </w:tcPr>
          <w:p>
            <w:r>
              <w:t>171.1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C-5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74.3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C-6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t>74.3</w:t>
            </w:r>
          </w:p>
        </w:tc>
        <w:tc>
          <w:tcPr>
            <w:vAlign w:val="center"/>
          </w:tcPr>
          <w:p>
            <w:r>
              <w:t>168.6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C-7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t>74.3</w:t>
            </w:r>
          </w:p>
        </w:tc>
        <w:tc>
          <w:tcPr>
            <w:vAlign w:val="center"/>
          </w:tcPr>
          <w:p>
            <w:r>
              <w:t>207.3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36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D-4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t>75.8</w:t>
            </w:r>
          </w:p>
        </w:tc>
        <w:tc>
          <w:tcPr>
            <w:vAlign w:val="center"/>
          </w:tcPr>
          <w:p>
            <w:r>
              <w:t>169.4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D-5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84.8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D-6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85.3</w:t>
            </w:r>
          </w:p>
        </w:tc>
        <w:tc>
          <w:tcPr>
            <w:vAlign w:val="center"/>
          </w:tcPr>
          <w:p>
            <w:r>
              <w:t>168.7</w:t>
            </w:r>
          </w:p>
        </w:tc>
        <w:tc>
          <w:tcPr>
            <w:vAlign w:val="center"/>
          </w:tcPr>
          <w:p>
            <w:r>
              <w:t>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D-7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t>85.3</w:t>
            </w:r>
          </w:p>
        </w:tc>
        <w:tc>
          <w:tcPr>
            <w:vAlign w:val="center"/>
          </w:tcPr>
          <w:p>
            <w:r>
              <w:t>208.5</w:t>
            </w:r>
          </w:p>
        </w:tc>
        <w:tc>
          <w:tcPr>
            <w:vAlign w:val="center"/>
          </w:tcPr>
          <w:p>
            <w:r>
              <w:rPr>
                <w:color w:val="FF0000"/>
              </w:rPr>
              <w:t>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D-8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862.8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Z-1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Z-2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Z-3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Z-4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8-1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337.6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8-2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t>353.1</w:t>
            </w:r>
          </w:p>
        </w:tc>
        <w:tc>
          <w:tcPr>
            <w:vAlign w:val="center"/>
          </w:tcPr>
          <w:p>
            <w:r>
              <w:t>100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>
            <w:r>
              <w:t>8354.2</w:t>
            </w:r>
          </w:p>
        </w:tc>
        <w:tc>
          <w:tcPr>
            <w:vAlign w:val="center"/>
          </w:tcPr>
          <w:p>
            <w:r>
              <w:t>6752.9</w:t>
            </w:r>
          </w:p>
        </w:tc>
        <w:tc>
          <w:tcPr>
            <w:vAlign w:val="center"/>
          </w:tcPr>
          <w:p>
            <w:r>
              <w:t>8354.2</w:t>
            </w:r>
          </w:p>
        </w:tc>
        <w:tc>
          <w:tcPr>
            <w:vAlign w:val="center"/>
          </w:tcPr>
          <w:p>
            <w:r>
              <w:t>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依据</w:t>
            </w:r>
          </w:p>
        </w:tc>
        <w:tc>
          <w:tcPr>
            <w:gridSpan w:val="4"/>
            <w:vAlign w:val="center"/>
          </w:tcPr>
          <w:p>
            <w:r>
              <w:t>《城市居住区热环境设计标准》4.4.2条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4"/>
            <w:vAlign w:val="center"/>
          </w:tcPr>
          <w:p>
            <w:r>
              <w:t>建筑屋面的绿化面积不应低于可绿化屋面面积的50%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4"/>
            <w:vAlign w:val="center"/>
          </w:tcPr>
          <w:p>
            <w:r>
              <w:t>满足</w:t>
            </w:r>
          </w:p>
        </w:tc>
      </w:tr>
    </w:tbl>
    <w:p>
      <w:pPr>
        <w:pStyle w:val="3"/>
        <w:ind w:firstLine="420"/>
        <w:rPr>
          <w:lang w:val="en-US"/>
        </w:rPr>
      </w:pPr>
      <w:bookmarkStart w:id="38" w:name="屋面绿化率"/>
      <w:bookmarkEnd w:id="38"/>
    </w:p>
    <w:p>
      <w:pPr>
        <w:pStyle w:val="2"/>
      </w:pPr>
      <w:bookmarkStart w:id="39" w:name="_Toc12134"/>
      <w:r>
        <w:rPr>
          <w:rFonts w:hint="eastAsia"/>
        </w:rPr>
        <w:t>结论</w:t>
      </w:r>
      <w:bookmarkEnd w:id="39"/>
    </w:p>
    <w:tbl>
      <w:tblPr>
        <w:tblStyle w:val="20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2800"/>
        <w:gridCol w:w="1866"/>
        <w:gridCol w:w="280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shd w:val="clear" w:color="auto" w:fill="E6E6E6"/>
            <w:vAlign w:val="center"/>
          </w:tcPr>
          <w:p>
            <w:pPr>
              <w:jc w:val="center"/>
            </w:pPr>
            <w:bookmarkStart w:id="40" w:name="结论"/>
            <w:bookmarkEnd w:id="40"/>
            <w:r>
              <w:t>类别</w:t>
            </w:r>
          </w:p>
        </w:tc>
        <w:tc>
          <w:tcPr>
            <w:tcW w:w="2800" w:type="dxa"/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tcW w:w="1866" w:type="dxa"/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  <w:tc>
          <w:tcPr>
            <w:tcW w:w="2800" w:type="dxa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restart"/>
            <w:shd w:val="clear" w:color="auto" w:fill="E6E6E6"/>
            <w:vAlign w:val="center"/>
          </w:tcPr>
          <w:p>
            <w:r>
              <w:rPr>
                <w:rFonts w:hint="eastAsia"/>
                <w:b/>
              </w:rPr>
              <w:t>强制</w:t>
            </w:r>
            <w:r>
              <w:rPr>
                <w:b/>
              </w:rPr>
              <w:t>性条</w:t>
            </w:r>
            <w:r>
              <w:rPr>
                <w:rFonts w:hint="eastAsia"/>
                <w:b/>
              </w:rPr>
              <w:t>文</w:t>
            </w:r>
          </w:p>
        </w:tc>
        <w:tc>
          <w:tcPr>
            <w:tcW w:w="2800" w:type="dxa"/>
            <w:vAlign w:val="center"/>
          </w:tcPr>
          <w:p>
            <w:r>
              <w:rPr>
                <w:b/>
              </w:rPr>
              <w:t>平均迎风面积比</w:t>
            </w:r>
          </w:p>
        </w:tc>
        <w:tc>
          <w:tcPr>
            <w:tcW w:w="1866" w:type="dxa"/>
            <w:vAlign w:val="center"/>
          </w:tcPr>
          <w:p>
            <w:pPr>
              <w:rPr>
                <w:b/>
              </w:rPr>
            </w:pPr>
            <w:bookmarkStart w:id="41" w:name="平均迎风面积比结论"/>
            <w:r>
              <w:rPr>
                <w:rFonts w:hint="eastAsia"/>
                <w:b/>
                <w:color w:val="FF0000"/>
              </w:rPr>
              <w:t>不满足</w:t>
            </w:r>
            <w:bookmarkEnd w:id="41"/>
          </w:p>
        </w:tc>
        <w:tc>
          <w:tcPr>
            <w:tcW w:w="2800" w:type="dxa"/>
            <w:vMerge w:val="restart"/>
            <w:vAlign w:val="center"/>
          </w:tcPr>
          <w:p>
            <w:r>
              <w:rPr>
                <w:b/>
              </w:rPr>
              <w:t>强制条文，必须满足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rPr>
                <w:b/>
              </w:rPr>
              <w:t>活动场地遮阳覆盖率</w:t>
            </w:r>
          </w:p>
        </w:tc>
        <w:tc>
          <w:tcPr>
            <w:tcW w:w="1866" w:type="dxa"/>
            <w:vAlign w:val="center"/>
          </w:tcPr>
          <w:p>
            <w:pPr>
              <w:rPr>
                <w:b/>
              </w:rPr>
            </w:pPr>
            <w:bookmarkStart w:id="42" w:name="活动场地遮阳覆盖率结论"/>
            <w:r>
              <w:rPr>
                <w:rFonts w:hint="eastAsia"/>
                <w:b/>
              </w:rPr>
              <w:t>满足</w:t>
            </w:r>
            <w:bookmarkEnd w:id="42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restart"/>
            <w:shd w:val="clear" w:color="auto" w:fill="E6E6E6"/>
            <w:vAlign w:val="center"/>
          </w:tcPr>
          <w:p>
            <w:r>
              <w:t>规定性设计</w:t>
            </w:r>
          </w:p>
        </w:tc>
        <w:tc>
          <w:tcPr>
            <w:tcW w:w="2800" w:type="dxa"/>
            <w:vAlign w:val="center"/>
          </w:tcPr>
          <w:p>
            <w:r>
              <w:t>底层通风架空率</w:t>
            </w:r>
          </w:p>
        </w:tc>
        <w:tc>
          <w:tcPr>
            <w:tcW w:w="1866" w:type="dxa"/>
            <w:vAlign w:val="center"/>
          </w:tcPr>
          <w:p>
            <w:bookmarkStart w:id="43" w:name="底层通风架空率结论"/>
            <w:r>
              <w:t>满足</w:t>
            </w:r>
            <w:bookmarkEnd w:id="43"/>
          </w:p>
        </w:tc>
        <w:tc>
          <w:tcPr>
            <w:tcW w:w="2800" w:type="dxa"/>
            <w:vMerge w:val="restart"/>
            <w:vAlign w:val="center"/>
          </w:tcPr>
          <w:p>
            <w:r>
              <w:t>不满足任意一条时，进行评价性设计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t>绿化遮阳体叶面积指数</w:t>
            </w:r>
          </w:p>
        </w:tc>
        <w:tc>
          <w:tcPr>
            <w:tcW w:w="1866" w:type="dxa"/>
            <w:vAlign w:val="center"/>
          </w:tcPr>
          <w:p>
            <w:bookmarkStart w:id="44" w:name="绿化遮阳体叶面积指数结论"/>
            <w:r>
              <w:t>满足</w:t>
            </w:r>
            <w:bookmarkEnd w:id="44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t>渗透蒸发指标</w:t>
            </w:r>
          </w:p>
        </w:tc>
        <w:tc>
          <w:tcPr>
            <w:tcW w:w="1866" w:type="dxa"/>
            <w:vAlign w:val="center"/>
          </w:tcPr>
          <w:p>
            <w:bookmarkStart w:id="45" w:name="渗透蒸发指标结论"/>
            <w:r>
              <w:t>满足</w:t>
            </w:r>
            <w:bookmarkEnd w:id="45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/>
        </w:tc>
        <w:tc>
          <w:tcPr>
            <w:tcW w:w="2800" w:type="dxa"/>
            <w:vAlign w:val="center"/>
          </w:tcPr>
          <w:p>
            <w:r>
              <w:t>屋面绿化率</w:t>
            </w:r>
          </w:p>
        </w:tc>
        <w:tc>
          <w:tcPr>
            <w:tcW w:w="1866" w:type="dxa"/>
            <w:vAlign w:val="center"/>
          </w:tcPr>
          <w:p>
            <w:bookmarkStart w:id="46" w:name="屋面绿化率结论"/>
            <w:r>
              <w:t>满足</w:t>
            </w:r>
            <w:bookmarkEnd w:id="46"/>
          </w:p>
        </w:tc>
        <w:tc>
          <w:tcPr>
            <w:tcW w:w="2800" w:type="dxa"/>
            <w:vMerge w:val="continue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7" w:type="dxa"/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tcW w:w="4666" w:type="dxa"/>
            <w:gridSpan w:val="2"/>
            <w:vAlign w:val="center"/>
          </w:tcPr>
          <w:p>
            <w:pPr>
              <w:rPr>
                <w:b/>
              </w:rPr>
            </w:pPr>
            <w:bookmarkStart w:id="47" w:name="总结论"/>
            <w:r>
              <w:rPr>
                <w:rFonts w:hint="eastAsia"/>
                <w:b/>
                <w:color w:val="FF0000"/>
              </w:rPr>
              <w:t>不满足</w:t>
            </w:r>
            <w:bookmarkEnd w:id="47"/>
          </w:p>
        </w:tc>
      </w:tr>
    </w:tbl>
    <w:p>
      <w:pPr>
        <w:pStyle w:val="3"/>
        <w:ind w:firstLine="420"/>
        <w:rPr>
          <w:lang w:val="en-US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5</w:t>
    </w:r>
    <w:r>
      <w:rPr>
        <w:rStyle w:val="24"/>
      </w:rPr>
      <w:fldChar w:fldCharType="end"/>
    </w: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lang w:val="en-US"/>
      </w:rPr>
      <w:drawing>
        <wp:inline distT="0" distB="0" distL="0" distR="0">
          <wp:extent cx="857250" cy="161925"/>
          <wp:effectExtent l="0" t="0" r="0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7250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2D4DC2"/>
    <w:rsid w:val="0000545C"/>
    <w:rsid w:val="0001409C"/>
    <w:rsid w:val="00026B3F"/>
    <w:rsid w:val="00037A4C"/>
    <w:rsid w:val="00051EA5"/>
    <w:rsid w:val="000A30EF"/>
    <w:rsid w:val="000B10AF"/>
    <w:rsid w:val="000B2169"/>
    <w:rsid w:val="000B2FE8"/>
    <w:rsid w:val="000D23A3"/>
    <w:rsid w:val="000E6711"/>
    <w:rsid w:val="000F23AD"/>
    <w:rsid w:val="000F7EF2"/>
    <w:rsid w:val="001137ED"/>
    <w:rsid w:val="00116794"/>
    <w:rsid w:val="00117637"/>
    <w:rsid w:val="00122AE1"/>
    <w:rsid w:val="00125196"/>
    <w:rsid w:val="00135FAF"/>
    <w:rsid w:val="0014776A"/>
    <w:rsid w:val="001541C5"/>
    <w:rsid w:val="0016280A"/>
    <w:rsid w:val="001745BF"/>
    <w:rsid w:val="001828F2"/>
    <w:rsid w:val="001B3169"/>
    <w:rsid w:val="001B7C87"/>
    <w:rsid w:val="001C59ED"/>
    <w:rsid w:val="001D4B47"/>
    <w:rsid w:val="001D6C1E"/>
    <w:rsid w:val="001F1D38"/>
    <w:rsid w:val="00203A7D"/>
    <w:rsid w:val="002109B0"/>
    <w:rsid w:val="002209B4"/>
    <w:rsid w:val="00234F4A"/>
    <w:rsid w:val="0023730B"/>
    <w:rsid w:val="00243608"/>
    <w:rsid w:val="00251126"/>
    <w:rsid w:val="002555B8"/>
    <w:rsid w:val="00272BDC"/>
    <w:rsid w:val="00285189"/>
    <w:rsid w:val="002A55EA"/>
    <w:rsid w:val="002B2BB0"/>
    <w:rsid w:val="002B4464"/>
    <w:rsid w:val="002F0C69"/>
    <w:rsid w:val="002F1F5C"/>
    <w:rsid w:val="0030437C"/>
    <w:rsid w:val="00310258"/>
    <w:rsid w:val="003121F7"/>
    <w:rsid w:val="00314D29"/>
    <w:rsid w:val="00327713"/>
    <w:rsid w:val="003320D8"/>
    <w:rsid w:val="00346AFD"/>
    <w:rsid w:val="00353FD3"/>
    <w:rsid w:val="003746AC"/>
    <w:rsid w:val="00384F21"/>
    <w:rsid w:val="003B0012"/>
    <w:rsid w:val="003C6997"/>
    <w:rsid w:val="003E4437"/>
    <w:rsid w:val="00417088"/>
    <w:rsid w:val="00463861"/>
    <w:rsid w:val="004654ED"/>
    <w:rsid w:val="004760A9"/>
    <w:rsid w:val="00480100"/>
    <w:rsid w:val="00480784"/>
    <w:rsid w:val="00486A3D"/>
    <w:rsid w:val="0048765E"/>
    <w:rsid w:val="00490A6C"/>
    <w:rsid w:val="00495F4C"/>
    <w:rsid w:val="004A29D4"/>
    <w:rsid w:val="004C4D23"/>
    <w:rsid w:val="004C69C1"/>
    <w:rsid w:val="004C79DA"/>
    <w:rsid w:val="004D230F"/>
    <w:rsid w:val="004D449D"/>
    <w:rsid w:val="004D5876"/>
    <w:rsid w:val="004E2129"/>
    <w:rsid w:val="004E291D"/>
    <w:rsid w:val="004E563F"/>
    <w:rsid w:val="004F534A"/>
    <w:rsid w:val="004F6872"/>
    <w:rsid w:val="004F694D"/>
    <w:rsid w:val="0050003A"/>
    <w:rsid w:val="00503750"/>
    <w:rsid w:val="005207E3"/>
    <w:rsid w:val="005215FB"/>
    <w:rsid w:val="0054514B"/>
    <w:rsid w:val="00545FB7"/>
    <w:rsid w:val="00561C8F"/>
    <w:rsid w:val="005755BA"/>
    <w:rsid w:val="0057692D"/>
    <w:rsid w:val="005812C2"/>
    <w:rsid w:val="005C7162"/>
    <w:rsid w:val="005D7DB4"/>
    <w:rsid w:val="00613298"/>
    <w:rsid w:val="00651069"/>
    <w:rsid w:val="00657ADD"/>
    <w:rsid w:val="00671FB7"/>
    <w:rsid w:val="0067336D"/>
    <w:rsid w:val="00685427"/>
    <w:rsid w:val="00685C60"/>
    <w:rsid w:val="00694FCA"/>
    <w:rsid w:val="006A159C"/>
    <w:rsid w:val="006A38D1"/>
    <w:rsid w:val="006B5695"/>
    <w:rsid w:val="006B57E0"/>
    <w:rsid w:val="006C3941"/>
    <w:rsid w:val="0072017E"/>
    <w:rsid w:val="0072214C"/>
    <w:rsid w:val="007514FE"/>
    <w:rsid w:val="00774599"/>
    <w:rsid w:val="007D1A35"/>
    <w:rsid w:val="007E78A4"/>
    <w:rsid w:val="00832581"/>
    <w:rsid w:val="008329E7"/>
    <w:rsid w:val="00872A29"/>
    <w:rsid w:val="00883D6C"/>
    <w:rsid w:val="00886207"/>
    <w:rsid w:val="00897FCE"/>
    <w:rsid w:val="008B02AA"/>
    <w:rsid w:val="008B2417"/>
    <w:rsid w:val="008B6B76"/>
    <w:rsid w:val="008E3905"/>
    <w:rsid w:val="008E7DE0"/>
    <w:rsid w:val="008F4A97"/>
    <w:rsid w:val="009115AF"/>
    <w:rsid w:val="00916B0E"/>
    <w:rsid w:val="00917B5B"/>
    <w:rsid w:val="0092562F"/>
    <w:rsid w:val="00935D40"/>
    <w:rsid w:val="00940A35"/>
    <w:rsid w:val="009410A0"/>
    <w:rsid w:val="00963036"/>
    <w:rsid w:val="009744B2"/>
    <w:rsid w:val="009B5732"/>
    <w:rsid w:val="009C3CAA"/>
    <w:rsid w:val="009C61AC"/>
    <w:rsid w:val="009D580B"/>
    <w:rsid w:val="009D7B62"/>
    <w:rsid w:val="009E4629"/>
    <w:rsid w:val="009E5E29"/>
    <w:rsid w:val="009F3F68"/>
    <w:rsid w:val="009F3F6B"/>
    <w:rsid w:val="00A0719E"/>
    <w:rsid w:val="00A305A7"/>
    <w:rsid w:val="00A32590"/>
    <w:rsid w:val="00A355BD"/>
    <w:rsid w:val="00A402EA"/>
    <w:rsid w:val="00A43C67"/>
    <w:rsid w:val="00A53163"/>
    <w:rsid w:val="00A72106"/>
    <w:rsid w:val="00A83D4E"/>
    <w:rsid w:val="00AA47FE"/>
    <w:rsid w:val="00AA7C65"/>
    <w:rsid w:val="00AB536D"/>
    <w:rsid w:val="00AC7EEF"/>
    <w:rsid w:val="00B047B3"/>
    <w:rsid w:val="00B107D2"/>
    <w:rsid w:val="00B10A58"/>
    <w:rsid w:val="00B16C0D"/>
    <w:rsid w:val="00B26E83"/>
    <w:rsid w:val="00B36FB1"/>
    <w:rsid w:val="00B41640"/>
    <w:rsid w:val="00B4240C"/>
    <w:rsid w:val="00B473C4"/>
    <w:rsid w:val="00B55B22"/>
    <w:rsid w:val="00B60841"/>
    <w:rsid w:val="00B645C9"/>
    <w:rsid w:val="00B70488"/>
    <w:rsid w:val="00B7457E"/>
    <w:rsid w:val="00BA50C0"/>
    <w:rsid w:val="00BA63DA"/>
    <w:rsid w:val="00BB1C06"/>
    <w:rsid w:val="00BC24EE"/>
    <w:rsid w:val="00BD489D"/>
    <w:rsid w:val="00BD4A14"/>
    <w:rsid w:val="00BE4349"/>
    <w:rsid w:val="00C0203A"/>
    <w:rsid w:val="00C21B0B"/>
    <w:rsid w:val="00C22E6B"/>
    <w:rsid w:val="00C3317F"/>
    <w:rsid w:val="00C43944"/>
    <w:rsid w:val="00C63237"/>
    <w:rsid w:val="00C67778"/>
    <w:rsid w:val="00C83ED1"/>
    <w:rsid w:val="00C95557"/>
    <w:rsid w:val="00C97E25"/>
    <w:rsid w:val="00CA1AA5"/>
    <w:rsid w:val="00CA311D"/>
    <w:rsid w:val="00CB5853"/>
    <w:rsid w:val="00CC50E4"/>
    <w:rsid w:val="00CE14CD"/>
    <w:rsid w:val="00CE28AA"/>
    <w:rsid w:val="00CE3E52"/>
    <w:rsid w:val="00CE6578"/>
    <w:rsid w:val="00D23AA7"/>
    <w:rsid w:val="00D345DA"/>
    <w:rsid w:val="00D40158"/>
    <w:rsid w:val="00D43C46"/>
    <w:rsid w:val="00D478B3"/>
    <w:rsid w:val="00D5601F"/>
    <w:rsid w:val="00D605FE"/>
    <w:rsid w:val="00D62A9A"/>
    <w:rsid w:val="00D63713"/>
    <w:rsid w:val="00D96AE9"/>
    <w:rsid w:val="00DC73AD"/>
    <w:rsid w:val="00DD16C4"/>
    <w:rsid w:val="00DD42A2"/>
    <w:rsid w:val="00DD50F9"/>
    <w:rsid w:val="00DE224D"/>
    <w:rsid w:val="00DF470C"/>
    <w:rsid w:val="00E16221"/>
    <w:rsid w:val="00E423BB"/>
    <w:rsid w:val="00E4518A"/>
    <w:rsid w:val="00E72EFD"/>
    <w:rsid w:val="00E75AC2"/>
    <w:rsid w:val="00E81ACD"/>
    <w:rsid w:val="00EA0210"/>
    <w:rsid w:val="00EA0B95"/>
    <w:rsid w:val="00EA3CE7"/>
    <w:rsid w:val="00EA741A"/>
    <w:rsid w:val="00EC27FD"/>
    <w:rsid w:val="00EC70F3"/>
    <w:rsid w:val="00ED2652"/>
    <w:rsid w:val="00ED3418"/>
    <w:rsid w:val="00EE005A"/>
    <w:rsid w:val="00EF0674"/>
    <w:rsid w:val="00EF5872"/>
    <w:rsid w:val="00EF5DD5"/>
    <w:rsid w:val="00F03100"/>
    <w:rsid w:val="00F16AE6"/>
    <w:rsid w:val="00F2167E"/>
    <w:rsid w:val="00F25DFA"/>
    <w:rsid w:val="00F312DB"/>
    <w:rsid w:val="00F4565A"/>
    <w:rsid w:val="00F75DD1"/>
    <w:rsid w:val="00F90890"/>
    <w:rsid w:val="00FA4B87"/>
    <w:rsid w:val="00FA733F"/>
    <w:rsid w:val="00FC0388"/>
    <w:rsid w:val="00FE25F2"/>
    <w:rsid w:val="00FF2243"/>
    <w:rsid w:val="402D4DC2"/>
    <w:rsid w:val="4D3A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9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page number"/>
    <w:basedOn w:val="22"/>
    <w:uiPriority w:val="0"/>
  </w:style>
  <w:style w:type="character" w:styleId="25">
    <w:name w:val="Hyperlink"/>
    <w:uiPriority w:val="99"/>
    <w:rPr>
      <w:color w:val="0000FF"/>
      <w:u w:val="single"/>
    </w:rPr>
  </w:style>
  <w:style w:type="character" w:customStyle="1" w:styleId="26">
    <w:name w:val="标题 Char"/>
    <w:basedOn w:val="22"/>
    <w:link w:val="19"/>
    <w:qFormat/>
    <w:uiPriority w:val="0"/>
    <w:rPr>
      <w:rFonts w:asciiTheme="majorHAnsi" w:hAnsiTheme="majorHAnsi" w:cstheme="majorBidi"/>
      <w:b/>
      <w:bCs/>
      <w:sz w:val="32"/>
      <w:szCs w:val="32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12</Pages>
  <Words>2626</Words>
  <Characters>5167</Characters>
  <Lines>20</Lines>
  <Paragraphs>5</Paragraphs>
  <TotalTime>8</TotalTime>
  <ScaleCrop>false</ScaleCrop>
  <LinksUpToDate>false</LinksUpToDate>
  <CharactersWithSpaces>5224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2021-12-23T11:47:00Z</dcterms:created>
  <dc:creator>User</dc:creator>
  <cp:lastModifiedBy>隆孪浦</cp:lastModifiedBy>
  <dcterms:modified xsi:type="dcterms:W3CDTF">2022-01-07T09:31:25Z</dcterms:modified>
  <dc:title>住区热环境规定性设计计算书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013F4019042E459F9FD71E7D3F8B4857</vt:lpwstr>
  </property>
  <property fmtid="{D5CDD505-2E9C-101B-9397-08002B2CF9AE}" pid="3" name="KSOProductBuildVer">
    <vt:lpwstr>2052-11.1.0.11194</vt:lpwstr>
  </property>
</Properties>
</file>