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hint="default" w:ascii="宋体" w:hAnsi="宋体" w:eastAsia="宋体"/>
                <w:sz w:val="21"/>
                <w:szCs w:val="21"/>
                <w:lang w:val="en-US" w:eastAsia="zh-CN"/>
              </w:rPr>
            </w:pPr>
            <w:bookmarkStart w:id="0" w:name="工程名称"/>
            <w:bookmarkEnd w:id="0"/>
            <w:r>
              <w:rPr>
                <w:rFonts w:hint="eastAsia" w:ascii="宋体" w:hAnsi="宋体"/>
                <w:sz w:val="21"/>
                <w:szCs w:val="21"/>
                <w:lang w:val="en-US" w:eastAsia="zh-CN"/>
              </w:rPr>
              <w:t>临溪而栖，傍林而生——憩园庭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郑州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hint="default" w:ascii="宋体" w:hAnsi="宋体" w:eastAsia="宋体"/>
                <w:sz w:val="21"/>
                <w:szCs w:val="21"/>
                <w:lang w:val="en-US" w:eastAsia="zh-CN"/>
              </w:rPr>
            </w:pPr>
            <w:bookmarkStart w:id="2" w:name="设计编号"/>
            <w:bookmarkEnd w:id="2"/>
            <w:r>
              <w:rPr>
                <w:rFonts w:hint="eastAsia" w:ascii="宋体" w:hAnsi="宋体"/>
                <w:sz w:val="21"/>
                <w:szCs w:val="21"/>
                <w:lang w:val="en-US" w:eastAsia="zh-CN"/>
              </w:rPr>
              <w:t>BK40735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hint="default" w:ascii="宋体" w:hAnsi="宋体" w:eastAsia="宋体"/>
                <w:sz w:val="21"/>
                <w:szCs w:val="21"/>
                <w:lang w:val="en-US" w:eastAsia="zh-CN"/>
              </w:rPr>
            </w:pPr>
            <w:bookmarkStart w:id="5" w:name="设计日期"/>
            <w:bookmarkEnd w:id="5"/>
            <w:r>
              <w:rPr>
                <w:rFonts w:hint="eastAsia" w:ascii="宋体" w:hAnsi="宋体"/>
                <w:sz w:val="21"/>
                <w:szCs w:val="21"/>
                <w:lang w:val="en-US" w:eastAsia="zh-CN"/>
              </w:rPr>
              <w:t>2022年01月03日</w:t>
            </w:r>
            <w:bookmarkStart w:id="34" w:name="_GoBack"/>
            <w:bookmarkEnd w:id="34"/>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rPr>
          <w:lang w:val="en-US"/>
        </w:rP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T19513309986</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hint="default" w:ascii="宋体" w:hAnsi="宋体"/>
                <w:lang w:val="en-US"/>
              </w:rPr>
            </w:pPr>
            <w:bookmarkStart w:id="12" w:name="工程名称2"/>
            <w:bookmarkEnd w:id="12"/>
            <w:r>
              <w:rPr>
                <w:rFonts w:hint="eastAsia" w:ascii="宋体" w:hAnsi="宋体"/>
                <w:sz w:val="21"/>
                <w:szCs w:val="21"/>
                <w:lang w:val="en-US" w:eastAsia="zh-CN"/>
              </w:rPr>
              <w:t>临溪而栖,傍林而生——憩园庭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郑州</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3"/>
      <w:bookmarkStart w:id="23" w:name="OLE_LINK4"/>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6033.14</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7014.77</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86.01</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W w:w="2280" w:type="dxa"/>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W w:w="760"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W w:w="987" w:type="dxa"/>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1001[多功能厅]</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1091.41</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242.53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1002[大会议室]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914.56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203.24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31.80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214.33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1004[书店]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214.33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1005[小卖部]</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28.35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93.48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1006[快餐厅兼茶座]</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847.00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188.22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89.50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194.91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1015[储藏室]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1018[理发店]</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90.72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1019[复印室]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86.21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1020[医务室]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100.02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2024[排练室]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630.67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161.71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2025[学生报社]</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361.39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92.66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2026[棋牌室]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375.29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2027[多功能厅]</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375.29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2028[多功能厅]</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347.49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89.10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2030[多媒体室]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375.29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63.03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2031[文学社]</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344.18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2032[多功能室]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105.98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2033[活动室]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277.29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83.08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311.46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79.86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65.26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2035[休息廊]</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1634.19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419.02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2036[准备室]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218.18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64.23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2037[美术社]</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277.43</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2038[摄影社]</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288.10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2039[书法社]</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288.10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2040[台球室]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266.76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59.09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2043[活动室]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448.16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114.91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57.51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82.30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92.66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63.86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44.46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3056[军乐]</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67.07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76.50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52.11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3059[民乐]</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3060[多功能室]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640.28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177.85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3063[声乐]</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55.94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256.09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3065[办公室]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78.60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3066[办公室]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84.39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246.24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81.79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3072[管弦乐]</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92.57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3073[办公室]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147.74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41.04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4001[活动室]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538.88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149.69</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37.97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333.59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92.66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61.49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346.42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96.23</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48.22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4085[休息]</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555.98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154.44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161.59</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4086[活动室]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726.20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201.72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4087[办公室]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4088[活动室]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407.59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113.22</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4089[休息]</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495.40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137.61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193.62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256.09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76.37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80.63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246.24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84.70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4098[活动室]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413.68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114.91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85.50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4099[活动室]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91.82</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5110[办公室]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317.70</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104.77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269.57</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74.88</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16.27</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383.62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106.56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42.78</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5115[阅览室]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383.62</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106.56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5116[活动室]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279.94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77.76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5117[活动室]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435.46</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120.96</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26.81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5118[活动室]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306.89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85.25</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5121[办公室]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256.09</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71.14</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5122[办公室]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51.61</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5123[办公室]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61.93</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5124[办公室]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246.24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68.40</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5129[活动室]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265.94</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73.87</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99.86</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5130[活动室]</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413.68</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114.91</w:t>
            </w: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70.55</w:t>
            </w: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W w:w="2280" w:type="dxa"/>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760"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W w:w="987" w:type="dxa"/>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86.01</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6</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12"/>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0432F"/>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7E454F"/>
    <w:rsid w:val="00927560"/>
    <w:rsid w:val="009727E4"/>
    <w:rsid w:val="009A4679"/>
    <w:rsid w:val="009F7F00"/>
    <w:rsid w:val="00A37C21"/>
    <w:rsid w:val="00A87B3B"/>
    <w:rsid w:val="00AC7365"/>
    <w:rsid w:val="00B35FE6"/>
    <w:rsid w:val="00B75415"/>
    <w:rsid w:val="00BA40F1"/>
    <w:rsid w:val="00BB00D4"/>
    <w:rsid w:val="00BB06E3"/>
    <w:rsid w:val="00C42612"/>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0F157B90"/>
    <w:rsid w:val="1B171B26"/>
    <w:rsid w:val="245D5A50"/>
    <w:rsid w:val="62E55633"/>
    <w:rsid w:val="65CB6373"/>
    <w:rsid w:val="68B9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5A49F-3298-4073-9896-918596261FE0}">
  <ds:schemaRefs/>
</ds:datastoreItem>
</file>

<file path=docProps/app.xml><?xml version="1.0" encoding="utf-8"?>
<Properties xmlns="http://schemas.openxmlformats.org/officeDocument/2006/extended-properties" xmlns:vt="http://schemas.openxmlformats.org/officeDocument/2006/docPropsVTypes">
  <Template>tmp35</Template>
  <Company>Microsoft</Company>
  <Pages>1</Pages>
  <Words>519</Words>
  <Characters>2961</Characters>
  <Lines>24</Lines>
  <Paragraphs>6</Paragraphs>
  <TotalTime>6</TotalTime>
  <ScaleCrop>false</ScaleCrop>
  <LinksUpToDate>false</LinksUpToDate>
  <CharactersWithSpaces>3474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2022-01-03T12:22:00Z</dcterms:created>
  <dc:creator>1</dc:creator>
  <cp:lastModifiedBy>Administrator</cp:lastModifiedBy>
  <dcterms:modified xsi:type="dcterms:W3CDTF">2022-01-03T13:22:40Z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CF72C28BA8E34873B052373B78BB14EB</vt:lpwstr>
  </property>
</Properties>
</file>