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175" w:name="_GoBack"/>
      <w:bookmarkEnd w:id="175"/>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bookmarkEnd w:id="1"/>
            <w:r>
              <w:rPr>
                <w:rFonts w:hint="eastAsia" w:ascii="宋体" w:hAnsi="宋体"/>
                <w:sz w:val="21"/>
                <w:szCs w:val="21"/>
                <w:lang w:val="en-US" w:eastAsia="zh-CN"/>
              </w:rPr>
              <w:t>临溪而栖，傍林而生——憩园庭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郑州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r>
              <w:rPr>
                <w:rFonts w:hint="eastAsia" w:ascii="宋体" w:hAnsi="宋体"/>
                <w:sz w:val="21"/>
                <w:szCs w:val="21"/>
                <w:lang w:val="en-US" w:eastAsia="zh-CN"/>
              </w:rPr>
              <w:t>BK40735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2022年01月03日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val="en-US"/>
        </w:rP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"_Toc92133129"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项目概况</w:t>
      </w:r>
      <w:r>
        <w:tab/>
      </w:r>
      <w:r>
        <w:fldChar w:fldCharType="begin"/>
      </w:r>
      <w:r>
        <w:instrText xml:space="preserve"> PAGEREF _Toc92133129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"_Toc92133130" </w:instrText>
      </w:r>
      <w:r>
        <w:fldChar w:fldCharType="separate"/>
      </w:r>
      <w:r>
        <w:rPr>
          <w:rStyle w:val="26"/>
          <w:lang w:val="en-GB"/>
        </w:rPr>
        <w:t>1.1</w:t>
      </w:r>
      <w:r>
        <w:rPr>
          <w:rFonts w:asciiTheme="minorHAnsi" w:hAnsiTheme="minorHAnsi" w:eastAsiaTheme="minorEastAsia" w:cstheme="minorBidi"/>
          <w:szCs w:val="22"/>
        </w:rPr>
        <w:tab/>
      </w:r>
      <w:r>
        <w:rPr>
          <w:rStyle w:val="26"/>
          <w:rFonts w:hint="eastAsia"/>
        </w:rPr>
        <w:t>总平面图</w:t>
      </w:r>
      <w:r>
        <w:tab/>
      </w:r>
      <w:r>
        <w:fldChar w:fldCharType="begin"/>
      </w:r>
      <w:r>
        <w:instrText xml:space="preserve"> PAGEREF _Toc92133130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"_Toc92133131" </w:instrText>
      </w:r>
      <w:r>
        <w:fldChar w:fldCharType="separate"/>
      </w:r>
      <w:r>
        <w:rPr>
          <w:rStyle w:val="26"/>
          <w:lang w:val="en-GB"/>
        </w:rPr>
        <w:t>1.2</w:t>
      </w:r>
      <w:r>
        <w:rPr>
          <w:rFonts w:asciiTheme="minorHAnsi" w:hAnsiTheme="minorHAnsi" w:eastAsiaTheme="minorEastAsia" w:cstheme="minorBidi"/>
          <w:szCs w:val="22"/>
        </w:rPr>
        <w:tab/>
      </w:r>
      <w:r>
        <w:rPr>
          <w:rStyle w:val="26"/>
          <w:rFonts w:hint="eastAsia"/>
        </w:rPr>
        <w:t>三维视图</w:t>
      </w:r>
      <w:r>
        <w:tab/>
      </w:r>
      <w:r>
        <w:fldChar w:fldCharType="begin"/>
      </w:r>
      <w:r>
        <w:instrText xml:space="preserve"> PAGEREF _Toc92133131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"_Toc92133132"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计算依据</w:t>
      </w:r>
      <w:r>
        <w:tab/>
      </w:r>
      <w:r>
        <w:fldChar w:fldCharType="begin"/>
      </w:r>
      <w:r>
        <w:instrText xml:space="preserve"> PAGEREF _Toc92133132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"_Toc92133133"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参考标准</w:t>
      </w:r>
      <w:r>
        <w:tab/>
      </w:r>
      <w:r>
        <w:fldChar w:fldCharType="begin"/>
      </w:r>
      <w:r>
        <w:instrText xml:space="preserve"> PAGEREF _Toc92133133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"_Toc92133134"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计算原理</w:t>
      </w:r>
      <w:r>
        <w:tab/>
      </w:r>
      <w:r>
        <w:fldChar w:fldCharType="begin"/>
      </w:r>
      <w:r>
        <w:instrText xml:space="preserve"> PAGEREF _Toc92133134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"_Toc92133135" </w:instrText>
      </w:r>
      <w:r>
        <w:fldChar w:fldCharType="separate"/>
      </w:r>
      <w:r>
        <w:rPr>
          <w:rStyle w:val="26"/>
          <w:lang w:val="en-GB"/>
        </w:rPr>
        <w:t>4.1</w:t>
      </w:r>
      <w:r>
        <w:rPr>
          <w:rFonts w:asciiTheme="minorHAnsi" w:hAnsiTheme="minorHAnsi" w:eastAsiaTheme="minorEastAsia" w:cstheme="minorBidi"/>
          <w:szCs w:val="22"/>
        </w:rPr>
        <w:tab/>
      </w:r>
      <w:r>
        <w:rPr>
          <w:rStyle w:val="26"/>
          <w:rFonts w:hint="eastAsia"/>
        </w:rPr>
        <w:t>风场计算域</w:t>
      </w:r>
      <w:r>
        <w:tab/>
      </w:r>
      <w:r>
        <w:fldChar w:fldCharType="begin"/>
      </w:r>
      <w:r>
        <w:instrText xml:space="preserve"> PAGEREF _Toc92133135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"_Toc92133136" </w:instrText>
      </w:r>
      <w:r>
        <w:fldChar w:fldCharType="separate"/>
      </w:r>
      <w:r>
        <w:rPr>
          <w:rStyle w:val="26"/>
          <w:lang w:val="en-GB"/>
        </w:rPr>
        <w:t>4.1.1</w:t>
      </w:r>
      <w:r>
        <w:rPr>
          <w:rFonts w:asciiTheme="minorHAnsi" w:hAnsiTheme="minorHAnsi" w:eastAsiaTheme="minorEastAsia" w:cstheme="minorBidi"/>
          <w:szCs w:val="22"/>
        </w:rPr>
        <w:tab/>
      </w:r>
      <w:r>
        <w:rPr>
          <w:rStyle w:val="26"/>
          <w:rFonts w:hint="eastAsia"/>
        </w:rPr>
        <w:t>冬季工况风场计算域</w:t>
      </w:r>
      <w:r>
        <w:tab/>
      </w:r>
      <w:r>
        <w:fldChar w:fldCharType="begin"/>
      </w:r>
      <w:r>
        <w:instrText xml:space="preserve"> PAGEREF _Toc92133136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"_Toc92133137" </w:instrText>
      </w:r>
      <w:r>
        <w:fldChar w:fldCharType="separate"/>
      </w:r>
      <w:r>
        <w:rPr>
          <w:rStyle w:val="26"/>
          <w:lang w:val="en-GB"/>
        </w:rPr>
        <w:t>4.1.2</w:t>
      </w:r>
      <w:r>
        <w:rPr>
          <w:rFonts w:asciiTheme="minorHAnsi" w:hAnsiTheme="minorHAnsi" w:eastAsiaTheme="minorEastAsia" w:cstheme="minorBidi"/>
          <w:szCs w:val="22"/>
        </w:rPr>
        <w:tab/>
      </w:r>
      <w:r>
        <w:rPr>
          <w:rStyle w:val="26"/>
          <w:rFonts w:hint="eastAsia"/>
        </w:rPr>
        <w:t>夏季工况风场计算域</w:t>
      </w:r>
      <w:r>
        <w:tab/>
      </w:r>
      <w:r>
        <w:fldChar w:fldCharType="begin"/>
      </w:r>
      <w:r>
        <w:instrText xml:space="preserve"> PAGEREF _Toc92133137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"_Toc92133138" </w:instrText>
      </w:r>
      <w:r>
        <w:fldChar w:fldCharType="separate"/>
      </w:r>
      <w:r>
        <w:rPr>
          <w:rStyle w:val="26"/>
          <w:lang w:val="en-GB"/>
        </w:rPr>
        <w:t>4.2</w:t>
      </w:r>
      <w:r>
        <w:rPr>
          <w:rFonts w:asciiTheme="minorHAnsi" w:hAnsiTheme="minorHAnsi" w:eastAsiaTheme="minorEastAsia" w:cstheme="minorBidi"/>
          <w:szCs w:val="22"/>
        </w:rPr>
        <w:tab/>
      </w:r>
      <w:r>
        <w:rPr>
          <w:rStyle w:val="26"/>
          <w:rFonts w:hint="eastAsia"/>
        </w:rPr>
        <w:t>网格划分</w:t>
      </w:r>
      <w:r>
        <w:tab/>
      </w:r>
      <w:r>
        <w:fldChar w:fldCharType="begin"/>
      </w:r>
      <w:r>
        <w:instrText xml:space="preserve"> PAGEREF _Toc92133138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"_Toc92133139" </w:instrText>
      </w:r>
      <w:r>
        <w:fldChar w:fldCharType="separate"/>
      </w:r>
      <w:r>
        <w:rPr>
          <w:rStyle w:val="26"/>
          <w:lang w:val="en-GB"/>
        </w:rPr>
        <w:t>4.3</w:t>
      </w:r>
      <w:r>
        <w:rPr>
          <w:rFonts w:asciiTheme="minorHAnsi" w:hAnsiTheme="minorHAnsi" w:eastAsiaTheme="minorEastAsia" w:cstheme="minorBidi"/>
          <w:szCs w:val="22"/>
        </w:rPr>
        <w:tab/>
      </w:r>
      <w:r>
        <w:rPr>
          <w:rStyle w:val="26"/>
          <w:rFonts w:hint="eastAsia"/>
        </w:rPr>
        <w:t>边界条件</w:t>
      </w:r>
      <w:r>
        <w:tab/>
      </w:r>
      <w:r>
        <w:fldChar w:fldCharType="begin"/>
      </w:r>
      <w:r>
        <w:instrText xml:space="preserve"> PAGEREF _Toc92133139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"_Toc92133140" </w:instrText>
      </w:r>
      <w:r>
        <w:fldChar w:fldCharType="separate"/>
      </w:r>
      <w:r>
        <w:rPr>
          <w:rStyle w:val="26"/>
          <w:lang w:val="en-GB"/>
        </w:rPr>
        <w:t>4.3.1</w:t>
      </w:r>
      <w:r>
        <w:rPr>
          <w:rFonts w:asciiTheme="minorHAnsi" w:hAnsiTheme="minorHAnsi" w:eastAsiaTheme="minorEastAsia" w:cstheme="minorBidi"/>
          <w:szCs w:val="22"/>
        </w:rPr>
        <w:tab/>
      </w:r>
      <w:r>
        <w:rPr>
          <w:rStyle w:val="26"/>
          <w:rFonts w:hint="eastAsia"/>
        </w:rPr>
        <w:t>入口与出口边界条件</w:t>
      </w:r>
      <w:r>
        <w:tab/>
      </w:r>
      <w:r>
        <w:fldChar w:fldCharType="begin"/>
      </w:r>
      <w:r>
        <w:instrText xml:space="preserve"> PAGEREF _Toc92133140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"_Toc92133141" </w:instrText>
      </w:r>
      <w:r>
        <w:fldChar w:fldCharType="separate"/>
      </w:r>
      <w:r>
        <w:rPr>
          <w:rStyle w:val="26"/>
          <w:lang w:val="en-GB"/>
        </w:rPr>
        <w:t>4.3.2</w:t>
      </w:r>
      <w:r>
        <w:rPr>
          <w:rFonts w:asciiTheme="minorHAnsi" w:hAnsiTheme="minorHAnsi" w:eastAsiaTheme="minorEastAsia" w:cstheme="minorBidi"/>
          <w:szCs w:val="22"/>
        </w:rPr>
        <w:tab/>
      </w:r>
      <w:r>
        <w:rPr>
          <w:rStyle w:val="26"/>
          <w:rFonts w:hint="eastAsia"/>
        </w:rPr>
        <w:t>壁面边界条件</w:t>
      </w:r>
      <w:r>
        <w:tab/>
      </w:r>
      <w:r>
        <w:fldChar w:fldCharType="begin"/>
      </w:r>
      <w:r>
        <w:instrText xml:space="preserve"> PAGEREF _Toc92133141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"_Toc92133142" </w:instrText>
      </w:r>
      <w:r>
        <w:fldChar w:fldCharType="separate"/>
      </w:r>
      <w:r>
        <w:rPr>
          <w:rStyle w:val="26"/>
          <w:lang w:val="en-GB"/>
        </w:rPr>
        <w:t>4.4</w:t>
      </w:r>
      <w:r>
        <w:rPr>
          <w:rFonts w:asciiTheme="minorHAnsi" w:hAnsiTheme="minorHAnsi" w:eastAsiaTheme="minorEastAsia" w:cstheme="minorBidi"/>
          <w:szCs w:val="22"/>
        </w:rPr>
        <w:tab/>
      </w:r>
      <w:r>
        <w:rPr>
          <w:rStyle w:val="26"/>
          <w:rFonts w:hint="eastAsia"/>
        </w:rPr>
        <w:t>湍流模型</w:t>
      </w:r>
      <w:r>
        <w:tab/>
      </w:r>
      <w:r>
        <w:fldChar w:fldCharType="begin"/>
      </w:r>
      <w:r>
        <w:instrText xml:space="preserve"> PAGEREF _Toc92133142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"_Toc92133143" </w:instrText>
      </w:r>
      <w:r>
        <w:fldChar w:fldCharType="separate"/>
      </w:r>
      <w:r>
        <w:rPr>
          <w:rStyle w:val="26"/>
          <w:lang w:val="en-GB"/>
        </w:rPr>
        <w:t>4.5</w:t>
      </w:r>
      <w:r>
        <w:rPr>
          <w:rFonts w:asciiTheme="minorHAnsi" w:hAnsiTheme="minorHAnsi" w:eastAsiaTheme="minorEastAsia" w:cstheme="minorBidi"/>
          <w:szCs w:val="22"/>
        </w:rPr>
        <w:tab/>
      </w:r>
      <w:r>
        <w:rPr>
          <w:rStyle w:val="26"/>
          <w:rFonts w:hint="eastAsia"/>
        </w:rPr>
        <w:t>求解计算</w:t>
      </w:r>
      <w:r>
        <w:tab/>
      </w:r>
      <w:r>
        <w:fldChar w:fldCharType="begin"/>
      </w:r>
      <w:r>
        <w:instrText xml:space="preserve"> PAGEREF _Toc92133143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"_Toc92133144" </w:instrText>
      </w:r>
      <w:r>
        <w:fldChar w:fldCharType="separate"/>
      </w:r>
      <w:r>
        <w:rPr>
          <w:rStyle w:val="26"/>
          <w:lang w:val="en-GB"/>
        </w:rPr>
        <w:t>4.6</w:t>
      </w:r>
      <w:r>
        <w:rPr>
          <w:rFonts w:asciiTheme="minorHAnsi" w:hAnsiTheme="minorHAnsi" w:eastAsiaTheme="minorEastAsia" w:cstheme="minorBidi"/>
          <w:szCs w:val="22"/>
        </w:rPr>
        <w:tab/>
      </w:r>
      <w:r>
        <w:rPr>
          <w:rStyle w:val="26"/>
          <w:rFonts w:hint="eastAsia"/>
        </w:rPr>
        <w:t>风速放大系数计算</w:t>
      </w:r>
      <w:r>
        <w:tab/>
      </w:r>
      <w:r>
        <w:fldChar w:fldCharType="begin"/>
      </w:r>
      <w:r>
        <w:instrText xml:space="preserve"> PAGEREF _Toc92133144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"_Toc92133145"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结果分析</w:t>
      </w:r>
      <w:r>
        <w:tab/>
      </w:r>
      <w:r>
        <w:fldChar w:fldCharType="begin"/>
      </w:r>
      <w:r>
        <w:instrText xml:space="preserve"> PAGEREF _Toc92133145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"_Toc92133146"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工况表</w:t>
      </w:r>
      <w:r>
        <w:tab/>
      </w:r>
      <w:r>
        <w:fldChar w:fldCharType="begin"/>
      </w:r>
      <w:r>
        <w:instrText xml:space="preserve"> PAGEREF _Toc92133146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"_Toc92133147"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冬季工况</w:t>
      </w:r>
      <w:r>
        <w:tab/>
      </w:r>
      <w:r>
        <w:fldChar w:fldCharType="begin"/>
      </w:r>
      <w:r>
        <w:instrText xml:space="preserve"> PAGEREF _Toc92133147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"_Toc92133148" </w:instrText>
      </w:r>
      <w:r>
        <w:fldChar w:fldCharType="separate"/>
      </w:r>
      <w:r>
        <w:rPr>
          <w:rStyle w:val="26"/>
          <w:lang w:val="en-GB"/>
        </w:rPr>
        <w:t>5.2.1</w:t>
      </w:r>
      <w:r>
        <w:rPr>
          <w:rFonts w:asciiTheme="minorHAnsi" w:hAnsiTheme="minorHAnsi" w:eastAsiaTheme="minorEastAsia" w:cstheme="minorBidi"/>
          <w:szCs w:val="22"/>
        </w:rPr>
        <w:tab/>
      </w:r>
      <w:r>
        <w:rPr>
          <w:rStyle w:val="26"/>
          <w:rFonts w:hint="eastAsia"/>
        </w:rPr>
        <w:t>风速达标分析</w:t>
      </w:r>
      <w:r>
        <w:tab/>
      </w:r>
      <w:r>
        <w:fldChar w:fldCharType="begin"/>
      </w:r>
      <w:r>
        <w:instrText xml:space="preserve"> PAGEREF _Toc92133148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"_Toc92133149" </w:instrText>
      </w:r>
      <w:r>
        <w:fldChar w:fldCharType="separate"/>
      </w:r>
      <w:r>
        <w:rPr>
          <w:rStyle w:val="26"/>
          <w:lang w:val="en-GB"/>
        </w:rPr>
        <w:t>5.2.2</w:t>
      </w:r>
      <w:r>
        <w:rPr>
          <w:rFonts w:asciiTheme="minorHAnsi" w:hAnsiTheme="minorHAnsi" w:eastAsiaTheme="minorEastAsia" w:cstheme="minorBidi"/>
          <w:szCs w:val="22"/>
        </w:rPr>
        <w:tab/>
      </w:r>
      <w:r>
        <w:rPr>
          <w:rStyle w:val="26"/>
          <w:rFonts w:hint="eastAsia"/>
        </w:rPr>
        <w:t>风速放大系数达标分析</w:t>
      </w:r>
      <w:r>
        <w:tab/>
      </w:r>
      <w:r>
        <w:fldChar w:fldCharType="begin"/>
      </w:r>
      <w:r>
        <w:instrText xml:space="preserve"> PAGEREF _Toc92133149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"_Toc92133150" </w:instrText>
      </w:r>
      <w:r>
        <w:fldChar w:fldCharType="separate"/>
      </w:r>
      <w:r>
        <w:rPr>
          <w:rStyle w:val="26"/>
          <w:lang w:val="en-GB"/>
        </w:rPr>
        <w:t>5.2.3</w:t>
      </w:r>
      <w:r>
        <w:rPr>
          <w:rFonts w:asciiTheme="minorHAnsi" w:hAnsiTheme="minorHAnsi" w:eastAsiaTheme="minorEastAsia" w:cstheme="minorBidi"/>
          <w:szCs w:val="22"/>
        </w:rPr>
        <w:tab/>
      </w:r>
      <w:r>
        <w:rPr>
          <w:rStyle w:val="26"/>
          <w:rFonts w:hint="eastAsia" w:cs="宋体"/>
          <w:lang w:val="en-GB"/>
        </w:rPr>
        <w:t>人行区域</w:t>
      </w:r>
      <w:r>
        <w:rPr>
          <w:rStyle w:val="26"/>
          <w:rFonts w:hint="eastAsia"/>
        </w:rPr>
        <w:t>冬季工况风速</w:t>
      </w:r>
      <w:r>
        <w:rPr>
          <w:rStyle w:val="26"/>
        </w:rPr>
        <w:t>/</w:t>
      </w:r>
      <w:r>
        <w:rPr>
          <w:rStyle w:val="26"/>
          <w:rFonts w:hint="eastAsia"/>
        </w:rPr>
        <w:t>风速放大系数达标判定</w:t>
      </w:r>
      <w:r>
        <w:tab/>
      </w:r>
      <w:r>
        <w:fldChar w:fldCharType="begin"/>
      </w:r>
      <w:r>
        <w:instrText xml:space="preserve"> PAGEREF _Toc92133150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"_Toc92133151" </w:instrText>
      </w:r>
      <w:r>
        <w:fldChar w:fldCharType="separate"/>
      </w:r>
      <w:r>
        <w:rPr>
          <w:rStyle w:val="26"/>
          <w:lang w:val="en-GB"/>
        </w:rPr>
        <w:t>5.2.4</w:t>
      </w:r>
      <w:r>
        <w:rPr>
          <w:rFonts w:asciiTheme="minorHAnsi" w:hAnsiTheme="minorHAnsi" w:eastAsiaTheme="minorEastAsia" w:cstheme="minorBidi"/>
          <w:szCs w:val="22"/>
        </w:rPr>
        <w:tab/>
      </w:r>
      <w:r>
        <w:rPr>
          <w:rStyle w:val="26"/>
          <w:rFonts w:hint="eastAsia"/>
        </w:rPr>
        <w:t>建筑迎风面和背风面风压分析</w:t>
      </w:r>
      <w:r>
        <w:tab/>
      </w:r>
      <w:r>
        <w:fldChar w:fldCharType="begin"/>
      </w:r>
      <w:r>
        <w:instrText xml:space="preserve"> PAGEREF _Toc92133151 \h </w:instrText>
      </w:r>
      <w:r>
        <w:fldChar w:fldCharType="separate"/>
      </w:r>
      <w:r>
        <w:t>16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"_Toc92133152" </w:instrText>
      </w:r>
      <w:r>
        <w:fldChar w:fldCharType="separate"/>
      </w:r>
      <w:r>
        <w:rPr>
          <w:rStyle w:val="26"/>
          <w:lang w:val="en-GB"/>
        </w:rPr>
        <w:t>5.3</w:t>
      </w:r>
      <w:r>
        <w:rPr>
          <w:rFonts w:asciiTheme="minorHAnsi" w:hAnsiTheme="minorHAnsi" w:eastAsiaTheme="minorEastAsia" w:cstheme="minorBidi"/>
          <w:szCs w:val="22"/>
        </w:rPr>
        <w:tab/>
      </w:r>
      <w:r>
        <w:rPr>
          <w:rStyle w:val="26"/>
          <w:rFonts w:hint="eastAsia"/>
        </w:rPr>
        <w:t>夏季工况</w:t>
      </w:r>
      <w:r>
        <w:tab/>
      </w:r>
      <w:r>
        <w:fldChar w:fldCharType="begin"/>
      </w:r>
      <w:r>
        <w:instrText xml:space="preserve"> PAGEREF _Toc92133152 \h </w:instrText>
      </w:r>
      <w:r>
        <w:fldChar w:fldCharType="separate"/>
      </w:r>
      <w:r>
        <w:t>19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"_Toc92133153" </w:instrText>
      </w:r>
      <w:r>
        <w:fldChar w:fldCharType="separate"/>
      </w:r>
      <w:r>
        <w:rPr>
          <w:rStyle w:val="26"/>
          <w:lang w:val="en-GB"/>
        </w:rPr>
        <w:t>5.3.1</w:t>
      </w:r>
      <w:r>
        <w:rPr>
          <w:rFonts w:asciiTheme="minorHAnsi" w:hAnsiTheme="minorHAnsi" w:eastAsiaTheme="minorEastAsia" w:cstheme="minorBidi"/>
          <w:szCs w:val="22"/>
        </w:rPr>
        <w:tab/>
      </w:r>
      <w:r>
        <w:rPr>
          <w:rStyle w:val="26"/>
          <w:rFonts w:hint="eastAsia"/>
        </w:rPr>
        <w:t>无风区计算分析</w:t>
      </w:r>
      <w:r>
        <w:tab/>
      </w:r>
      <w:r>
        <w:fldChar w:fldCharType="begin"/>
      </w:r>
      <w:r>
        <w:instrText xml:space="preserve"> PAGEREF _Toc92133153 \h </w:instrText>
      </w:r>
      <w:r>
        <w:fldChar w:fldCharType="separate"/>
      </w:r>
      <w:r>
        <w:t>20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"_Toc92133154" </w:instrText>
      </w:r>
      <w:r>
        <w:fldChar w:fldCharType="separate"/>
      </w:r>
      <w:r>
        <w:rPr>
          <w:rStyle w:val="26"/>
          <w:lang w:val="en-GB"/>
        </w:rPr>
        <w:t>5.3.2</w:t>
      </w:r>
      <w:r>
        <w:rPr>
          <w:rFonts w:asciiTheme="minorHAnsi" w:hAnsiTheme="minorHAnsi" w:eastAsiaTheme="minorEastAsia" w:cstheme="minorBidi"/>
          <w:szCs w:val="22"/>
        </w:rPr>
        <w:tab/>
      </w:r>
      <w:r>
        <w:rPr>
          <w:rStyle w:val="26"/>
          <w:rFonts w:hint="eastAsia"/>
        </w:rPr>
        <w:t>旋涡区分析</w:t>
      </w:r>
      <w:r>
        <w:tab/>
      </w:r>
      <w:r>
        <w:fldChar w:fldCharType="begin"/>
      </w:r>
      <w:r>
        <w:instrText xml:space="preserve"> PAGEREF _Toc92133154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"_Toc92133155" </w:instrText>
      </w:r>
      <w:r>
        <w:fldChar w:fldCharType="separate"/>
      </w:r>
      <w:r>
        <w:rPr>
          <w:rStyle w:val="26"/>
          <w:lang w:val="en-GB"/>
        </w:rPr>
        <w:t>5.3.3</w:t>
      </w:r>
      <w:r>
        <w:rPr>
          <w:rFonts w:asciiTheme="minorHAnsi" w:hAnsiTheme="minorHAnsi" w:eastAsiaTheme="minorEastAsia" w:cstheme="minorBidi"/>
          <w:szCs w:val="22"/>
        </w:rPr>
        <w:tab/>
      </w:r>
      <w:r>
        <w:rPr>
          <w:rStyle w:val="26"/>
          <w:rFonts w:hint="eastAsia"/>
        </w:rPr>
        <w:t>人行区域旋涡区</w:t>
      </w:r>
      <w:r>
        <w:rPr>
          <w:rStyle w:val="26"/>
        </w:rPr>
        <w:t>/</w:t>
      </w:r>
      <w:r>
        <w:rPr>
          <w:rStyle w:val="26"/>
          <w:rFonts w:hint="eastAsia"/>
        </w:rPr>
        <w:t>无风区达标判定</w:t>
      </w:r>
      <w:r>
        <w:tab/>
      </w:r>
      <w:r>
        <w:fldChar w:fldCharType="begin"/>
      </w:r>
      <w:r>
        <w:instrText xml:space="preserve"> PAGEREF _Toc92133155 \h </w:instrText>
      </w:r>
      <w:r>
        <w:fldChar w:fldCharType="separate"/>
      </w:r>
      <w:r>
        <w:t>22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"_Toc92133156" </w:instrText>
      </w:r>
      <w:r>
        <w:fldChar w:fldCharType="separate"/>
      </w:r>
      <w:r>
        <w:rPr>
          <w:rStyle w:val="26"/>
          <w:lang w:val="en-GB"/>
        </w:rPr>
        <w:t>5.3.4</w:t>
      </w:r>
      <w:r>
        <w:rPr>
          <w:rFonts w:asciiTheme="minorHAnsi" w:hAnsiTheme="minorHAnsi" w:eastAsiaTheme="minorEastAsia" w:cstheme="minorBidi"/>
          <w:szCs w:val="22"/>
        </w:rPr>
        <w:tab/>
      </w:r>
      <w:r>
        <w:rPr>
          <w:rStyle w:val="26"/>
          <w:rFonts w:hint="eastAsia"/>
        </w:rPr>
        <w:t>外窗内外表面风压差达标分析</w:t>
      </w:r>
      <w:r>
        <w:tab/>
      </w:r>
      <w:r>
        <w:fldChar w:fldCharType="begin"/>
      </w:r>
      <w:r>
        <w:instrText xml:space="preserve"> PAGEREF _Toc92133156 \h </w:instrText>
      </w:r>
      <w:r>
        <w:fldChar w:fldCharType="separate"/>
      </w:r>
      <w:r>
        <w:t>22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"_Toc92133157" </w:instrText>
      </w:r>
      <w:r>
        <w:fldChar w:fldCharType="separate"/>
      </w:r>
      <w:r>
        <w:rPr>
          <w:rStyle w:val="26"/>
          <w:lang w:val="en-GB"/>
        </w:rPr>
        <w:t>5.4</w:t>
      </w:r>
      <w:r>
        <w:rPr>
          <w:rFonts w:asciiTheme="minorHAnsi" w:hAnsiTheme="minorHAnsi" w:eastAsiaTheme="minorEastAsia" w:cstheme="minorBidi"/>
          <w:szCs w:val="22"/>
        </w:rPr>
        <w:tab/>
      </w:r>
      <w:r>
        <w:rPr>
          <w:rStyle w:val="26"/>
          <w:rFonts w:hint="eastAsia"/>
        </w:rPr>
        <w:t>结论</w:t>
      </w:r>
      <w:r>
        <w:tab/>
      </w:r>
      <w:r>
        <w:fldChar w:fldCharType="begin"/>
      </w:r>
      <w:r>
        <w:instrText xml:space="preserve"> PAGEREF _Toc92133157 \h </w:instrText>
      </w:r>
      <w:r>
        <w:fldChar w:fldCharType="separate"/>
      </w:r>
      <w:r>
        <w:t>24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"_Toc92133158" </w:instrText>
      </w:r>
      <w:r>
        <w:fldChar w:fldCharType="separate"/>
      </w:r>
      <w:r>
        <w:rPr>
          <w:rStyle w:val="26"/>
          <w:lang w:val="en-GB"/>
        </w:rPr>
        <w:t>5.4.1</w:t>
      </w:r>
      <w:r>
        <w:rPr>
          <w:rFonts w:asciiTheme="minorHAnsi" w:hAnsiTheme="minorHAnsi" w:eastAsiaTheme="minorEastAsia" w:cstheme="minorBidi"/>
          <w:szCs w:val="22"/>
        </w:rPr>
        <w:tab/>
      </w:r>
      <w:r>
        <w:rPr>
          <w:rStyle w:val="26"/>
          <w:rFonts w:hint="eastAsia"/>
        </w:rPr>
        <w:t>冬季工况达标判断</w:t>
      </w:r>
      <w:r>
        <w:tab/>
      </w:r>
      <w:r>
        <w:fldChar w:fldCharType="begin"/>
      </w:r>
      <w:r>
        <w:instrText xml:space="preserve"> PAGEREF _Toc92133158 \h </w:instrText>
      </w:r>
      <w:r>
        <w:fldChar w:fldCharType="separate"/>
      </w:r>
      <w:r>
        <w:t>24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"_Toc92133159" </w:instrText>
      </w:r>
      <w:r>
        <w:fldChar w:fldCharType="separate"/>
      </w:r>
      <w:r>
        <w:rPr>
          <w:rStyle w:val="26"/>
          <w:lang w:val="en-GB"/>
        </w:rPr>
        <w:t>5.4.2</w:t>
      </w:r>
      <w:r>
        <w:rPr>
          <w:rFonts w:asciiTheme="minorHAnsi" w:hAnsiTheme="minorHAnsi" w:eastAsiaTheme="minorEastAsia" w:cstheme="minorBidi"/>
          <w:szCs w:val="22"/>
        </w:rPr>
        <w:tab/>
      </w:r>
      <w:r>
        <w:rPr>
          <w:rStyle w:val="26"/>
          <w:rFonts w:hint="eastAsia"/>
        </w:rPr>
        <w:t>过渡季、夏季工况达标判断</w:t>
      </w:r>
      <w:r>
        <w:tab/>
      </w:r>
      <w:r>
        <w:fldChar w:fldCharType="begin"/>
      </w:r>
      <w:r>
        <w:instrText xml:space="preserve"> PAGEREF _Toc92133159 \h </w:instrText>
      </w:r>
      <w:r>
        <w:fldChar w:fldCharType="separate"/>
      </w:r>
      <w:r>
        <w:t>25</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9213312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92133130"/>
      <w:bookmarkStart w:id="12" w:name="_Toc452108760"/>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rPr>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92133131"/>
      <w:bookmarkStart w:id="16" w:name="_Toc452108761"/>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rPr>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452108762"/>
      <w:bookmarkStart w:id="21" w:name="_Toc92133132"/>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2" w:name="_Toc452108763"/>
      <w:bookmarkStart w:id="23" w:name="_Toc92133133"/>
      <w:r>
        <w:rPr>
          <w:rFonts w:hint="eastAsia"/>
        </w:rPr>
        <w:t>参考</w:t>
      </w:r>
      <w:r>
        <w:t>标准</w:t>
      </w:r>
      <w:bookmarkEnd w:id="22"/>
      <w:bookmarkEnd w:id="23"/>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4" w:name="_Toc451698935"/>
      <w:bookmarkStart w:id="25" w:name="_Toc452108764"/>
      <w:bookmarkStart w:id="26"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7" w:name="_Toc92133134"/>
      <w:r>
        <w:rPr>
          <w:rFonts w:hint="eastAsia"/>
        </w:rPr>
        <w:t>计算原理</w:t>
      </w:r>
      <w:bookmarkEnd w:id="24"/>
      <w:bookmarkEnd w:id="25"/>
      <w:bookmarkEnd w:id="27"/>
    </w:p>
    <w:p>
      <w:pPr>
        <w:pStyle w:val="4"/>
        <w:numPr>
          <w:ilvl w:val="1"/>
          <w:numId w:val="3"/>
        </w:numPr>
      </w:pPr>
      <w:bookmarkStart w:id="28" w:name="_Toc92133135"/>
      <w:bookmarkStart w:id="29" w:name="_Toc509844740"/>
      <w:bookmarkStart w:id="30" w:name="_Toc451698937"/>
      <w:bookmarkStart w:id="31" w:name="_Toc452108765"/>
      <w:r>
        <w:rPr>
          <w:rFonts w:hint="eastAsia"/>
        </w:rPr>
        <w:t>风场计算域</w:t>
      </w:r>
      <w:bookmarkEnd w:id="28"/>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2" w:name="_Toc92133136"/>
      <w:r>
        <w:rPr>
          <w:rFonts w:hint="eastAsia"/>
        </w:rPr>
        <w:t>冬季工况风场计算域</w:t>
      </w:r>
      <w:bookmarkEnd w:id="3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123</w:t>
            </w:r>
          </w:p>
        </w:tc>
      </w:tr>
    </w:tbl>
    <w:p>
      <w:pPr>
        <w:pStyle w:val="3"/>
        <w:ind w:firstLine="0" w:firstLineChars="0"/>
        <w:jc w:val="center"/>
        <w:rPr>
          <w:lang w:val="en-US"/>
        </w:rPr>
      </w:pPr>
      <w:r>
        <w:rPr>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33" w:name="_Toc92133137"/>
      <w:r>
        <w:rPr>
          <w:rFonts w:hint="eastAsia"/>
        </w:rPr>
        <w:t>夏季工况风场计算域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X尺寸"/>
            <w:r>
              <w:t>968</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Y尺寸"/>
            <w:r>
              <w:t>507</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Z尺寸"/>
            <w:r>
              <w:t>120</w:t>
            </w:r>
            <w:bookmarkEnd w:id="36"/>
          </w:p>
        </w:tc>
      </w:tr>
    </w:tbl>
    <w:p>
      <w:pPr>
        <w:pStyle w:val="3"/>
        <w:ind w:firstLine="0" w:firstLineChars="0"/>
        <w:jc w:val="center"/>
        <w:rPr>
          <w:lang w:val="en-US"/>
        </w:rPr>
      </w:pPr>
      <w:bookmarkStart w:id="37" w:name="冬季工况风场计算域图示"/>
      <w:bookmarkEnd w:id="37"/>
      <w:r>
        <w:rPr>
          <w:lang w:val="en-US"/>
        </w:rPr>
        <w:drawing>
          <wp:inline distT="0" distB="0" distL="0" distR="0">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8" w:name="计算域"/>
      <w:bookmarkEnd w:id="38"/>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9" w:name="_Toc92133138"/>
      <w:bookmarkStart w:id="40" w:name="_Toc509844741"/>
      <w:r>
        <w:rPr>
          <w:rFonts w:hint="eastAsia"/>
        </w:rPr>
        <w:t>网格划分</w:t>
      </w:r>
      <w:bookmarkEnd w:id="39"/>
      <w:bookmarkEnd w:id="4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1" w:name="OLE_LINK277"/>
      <w:bookmarkStart w:id="42" w:name="OLE_LINK276"/>
      <w:r>
        <w:rPr>
          <w:rFonts w:hint="eastAsia"/>
        </w:rPr>
        <w:t>1）普通网格：指除靠近地面和建筑以外的网格，通常不需要特别加密处理</w:t>
      </w:r>
    </w:p>
    <w:p>
      <w:pPr>
        <w:pStyle w:val="12"/>
        <w:numPr>
          <w:ilvl w:val="0"/>
          <w:numId w:val="4"/>
        </w:numPr>
        <w:spacing w:before="156"/>
      </w:pPr>
      <w:bookmarkStart w:id="43" w:name="OLE_LINK15"/>
      <w:r>
        <w:rPr>
          <w:rFonts w:hint="eastAsia"/>
        </w:rPr>
        <w:t>分弧精度：对于有圆弧特征的建筑局部，把圆弧分解为线段时，弦到弧的最大距离；</w:t>
      </w:r>
    </w:p>
    <w:bookmarkEnd w:id="43"/>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1"/>
      <w:bookmarkEnd w:id="42"/>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1449874</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4" w:name="冬季网格总数"/>
            <w:r>
              <w:t>1141550</w:t>
            </w:r>
            <w:bookmarkEnd w:id="4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分弧精度"/>
            <w:r>
              <w:t>0.24</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初始网格"/>
            <w:r>
              <w:t>8.0</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最小细分级数"/>
            <w:r>
              <w:t>1</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最大细分级数"/>
            <w:r>
              <w:t>2</w:t>
            </w:r>
            <w:bookmarkEnd w:id="48"/>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远场细分级数"/>
            <w:r>
              <w:t>1</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近场细分级数"/>
            <w:r>
              <w:t>2</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地面附面层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建筑附面层数"/>
            <w:r>
              <w:t>0</w:t>
            </w:r>
            <w:bookmarkEnd w:id="52"/>
          </w:p>
        </w:tc>
      </w:tr>
    </w:tbl>
    <w:p>
      <w:pPr>
        <w:rPr>
          <w:szCs w:val="21"/>
          <w:lang w:val="en-US"/>
        </w:rPr>
      </w:pPr>
    </w:p>
    <w:p>
      <w:pPr>
        <w:pStyle w:val="3"/>
        <w:ind w:firstLine="630" w:firstLineChars="300"/>
        <w:rPr>
          <w:rFonts w:ascii="黑体" w:hAnsi="黑体" w:eastAsia="黑体"/>
          <w:szCs w:val="20"/>
        </w:rPr>
      </w:pPr>
      <w:bookmarkStart w:id="53" w:name="网格划分信息"/>
      <w:bookmarkEnd w:id="53"/>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4" w:name="_Toc92133139"/>
      <w:bookmarkStart w:id="55" w:name="_Toc509844742"/>
      <w:r>
        <w:rPr>
          <w:rFonts w:hint="eastAsia"/>
        </w:rPr>
        <w:t>边界条件</w:t>
      </w:r>
      <w:bookmarkEnd w:id="54"/>
      <w:bookmarkEnd w:id="5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6" w:name="_Toc92133140"/>
      <w:bookmarkStart w:id="57" w:name="_Toc509844743"/>
      <w:r>
        <w:rPr>
          <w:rFonts w:hint="eastAsia"/>
        </w:rPr>
        <w:t>入口与出口边界条件</w:t>
      </w:r>
      <w:bookmarkEnd w:id="56"/>
      <w:bookmarkEnd w:id="5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8" w:name="地面粗糙度指数2"/>
      <w:r>
        <w:rPr>
          <w:rFonts w:hint="eastAsia"/>
          <w:lang w:val="en-US"/>
        </w:rPr>
        <w:t>0.14</w:t>
      </w:r>
      <w:bookmarkEnd w:id="5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9" w:name="_Toc509844744"/>
      <w:bookmarkStart w:id="60" w:name="_Toc92133141"/>
      <w:r>
        <w:rPr>
          <w:rFonts w:hint="eastAsia"/>
        </w:rPr>
        <w:t>壁面边界条件</w:t>
      </w:r>
      <w:bookmarkEnd w:id="59"/>
      <w:bookmarkEnd w:id="6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1" w:name="_Toc92133142"/>
      <w:r>
        <w:rPr>
          <w:rFonts w:hint="eastAsia"/>
        </w:rPr>
        <w:t>湍流模型</w:t>
      </w:r>
      <w:bookmarkEnd w:id="30"/>
      <w:bookmarkEnd w:id="31"/>
      <w:bookmarkEnd w:id="6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2" w:name="_Toc92133143"/>
      <w:bookmarkStart w:id="63" w:name="_Toc452108767"/>
      <w:bookmarkStart w:id="64" w:name="_Toc451698939"/>
      <w:r>
        <w:rPr>
          <w:rFonts w:hint="eastAsia"/>
        </w:rPr>
        <w:t>求解计算</w:t>
      </w:r>
      <w:bookmarkEnd w:id="62"/>
      <w:bookmarkEnd w:id="63"/>
      <w:bookmarkEnd w:id="6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5"/>
      <w:r>
        <w:rPr>
          <w:rFonts w:hint="eastAsia" w:ascii="黑体" w:hAnsi="黑体" w:eastAsia="黑体"/>
          <w:sz w:val="20"/>
          <w:szCs w:val="20"/>
        </w:rPr>
        <w:t xml:space="preserve"> </w:t>
      </w:r>
      <w:bookmarkStart w:id="66" w:name="_Ref225175618"/>
      <w:r>
        <w:rPr>
          <w:rFonts w:hint="eastAsia" w:ascii="黑体" w:hAnsi="黑体" w:eastAsia="黑体"/>
          <w:sz w:val="20"/>
          <w:szCs w:val="20"/>
        </w:rPr>
        <w:t>计算流体力学的控制方程</w:t>
      </w:r>
      <w:bookmarkEnd w:id="6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6"/>
    </w:p>
    <w:p>
      <w:pPr>
        <w:pStyle w:val="4"/>
      </w:pPr>
      <w:bookmarkStart w:id="67" w:name="_Toc509844747"/>
      <w:bookmarkStart w:id="68" w:name="_Toc92133144"/>
      <w:r>
        <w:rPr>
          <w:rFonts w:hint="eastAsia"/>
        </w:rPr>
        <w:t>风速放大系数计算</w:t>
      </w:r>
      <w:bookmarkEnd w:id="67"/>
      <w:bookmarkEnd w:id="6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0.14</w:t>
      </w:r>
      <w:bookmarkEnd w:id="6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0" w:name="_Toc92133145"/>
      <w:bookmarkStart w:id="71" w:name="_Toc452108768"/>
      <w:r>
        <w:rPr>
          <w:rFonts w:hint="eastAsia"/>
        </w:rPr>
        <w:t>结果</w:t>
      </w:r>
      <w:r>
        <w:t>分析</w:t>
      </w:r>
      <w:bookmarkEnd w:id="70"/>
      <w:bookmarkEnd w:id="71"/>
    </w:p>
    <w:p>
      <w:pPr>
        <w:pStyle w:val="4"/>
        <w:rPr>
          <w:szCs w:val="21"/>
        </w:rPr>
      </w:pPr>
      <w:bookmarkStart w:id="72" w:name="_Toc92133146"/>
      <w:r>
        <w:rPr>
          <w:rFonts w:hint="eastAsia"/>
          <w:szCs w:val="21"/>
        </w:rPr>
        <w:t>工况</w:t>
      </w:r>
      <w:r>
        <w:rPr>
          <w:szCs w:val="21"/>
        </w:rPr>
        <w:t>表</w:t>
      </w:r>
      <w:bookmarkEnd w:id="7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4.90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135.0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1.00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0.0</w:t>
            </w:r>
          </w:p>
        </w:tc>
      </w:tr>
      <w:bookmarkEnd w:id="7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4" w:name="_Toc509844750"/>
      <w:bookmarkStart w:id="75" w:name="_Toc92133147"/>
      <w:r>
        <w:rPr>
          <w:rFonts w:hint="eastAsia"/>
        </w:rPr>
        <w:t>冬季工况</w:t>
      </w:r>
      <w:bookmarkEnd w:id="74"/>
      <w:bookmarkEnd w:id="75"/>
    </w:p>
    <w:p>
      <w:pPr>
        <w:ind w:firstLine="420" w:firstLineChars="200"/>
        <w:jc w:val="both"/>
      </w:pPr>
      <w:r>
        <w:rPr>
          <w:rFonts w:hint="eastAsia"/>
          <w:lang w:val="en-US"/>
        </w:rPr>
        <w:t>本项目冬季工况的入口边界风速为</w:t>
      </w:r>
      <w:bookmarkStart w:id="76" w:name="冬季入口边界风速"/>
      <w:r>
        <w:rPr>
          <w:rFonts w:hint="eastAsia" w:ascii="Calibri" w:hAnsi="Calibri"/>
          <w:szCs w:val="21"/>
        </w:rPr>
        <w:t>4.90</w:t>
      </w:r>
      <w:bookmarkEnd w:id="76"/>
      <w:r>
        <w:rPr>
          <w:rFonts w:ascii="Calibri" w:hAnsi="Calibri"/>
          <w:szCs w:val="21"/>
        </w:rPr>
        <w:t>m/s</w:t>
      </w:r>
      <w:r>
        <w:rPr>
          <w:rFonts w:hint="eastAsia" w:ascii="Calibri" w:hAnsi="Calibri"/>
          <w:szCs w:val="21"/>
        </w:rPr>
        <w:t>，风向为</w:t>
      </w:r>
      <w:bookmarkStart w:id="77" w:name="冬季入口边界风向"/>
      <w:r>
        <w:rPr>
          <w:szCs w:val="21"/>
        </w:rPr>
        <w:t>NW</w:t>
      </w:r>
      <w:bookmarkEnd w:id="77"/>
      <w:r>
        <w:rPr>
          <w:rFonts w:hint="eastAsia"/>
          <w:szCs w:val="21"/>
        </w:rPr>
        <w:t>。</w:t>
      </w:r>
    </w:p>
    <w:p>
      <w:pPr>
        <w:pStyle w:val="5"/>
      </w:pPr>
      <w:bookmarkStart w:id="78" w:name="_Toc509844751"/>
      <w:bookmarkStart w:id="79" w:name="_Toc92133148"/>
      <w:r>
        <w:rPr>
          <w:rFonts w:hint="eastAsia"/>
        </w:rPr>
        <w:t>风速达标分析</w:t>
      </w:r>
      <w:bookmarkEnd w:id="78"/>
      <w:bookmarkEnd w:id="79"/>
      <w:r>
        <w:rPr>
          <w:rFonts w:hint="eastAsia"/>
        </w:rPr>
        <w:t xml:space="preserve"> </w:t>
      </w:r>
    </w:p>
    <w:p>
      <w:pPr>
        <w:pStyle w:val="6"/>
      </w:pPr>
      <w:r>
        <w:t>人行区域风速达标分析</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0" w:name="冬季工况人行区风速分析结论"/>
      <w:bookmarkEnd w:id="80"/>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1" w:name="冬季工况人行区风速云图"/>
      <w:bookmarkEnd w:id="81"/>
      <w:r>
        <w:rPr>
          <w:lang w:val="en-US"/>
        </w:rPr>
        <w:drawing>
          <wp:inline distT="0" distB="0" distL="0" distR="0">
            <wp:extent cx="5667375" cy="3467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671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82" w:name="冬季工况风速分析结论"/>
      <w:r>
        <w:t>建筑周围出现风速超限区域，需酌情调整建筑布局。</w:t>
      </w:r>
      <w:bookmarkEnd w:id="82"/>
    </w:p>
    <w:p>
      <w:pPr>
        <w:pStyle w:val="3"/>
        <w:ind w:hanging="2" w:firstLineChars="0"/>
        <w:jc w:val="center"/>
        <w:rPr>
          <w:rFonts w:ascii="Calibri Light" w:hAnsi="Calibri Light" w:eastAsia="黑体"/>
          <w:sz w:val="20"/>
          <w:szCs w:val="20"/>
        </w:rPr>
      </w:pPr>
      <w:bookmarkStart w:id="83" w:name="冬季工况风速云图"/>
      <w:bookmarkEnd w:id="83"/>
      <w:r>
        <w:rPr>
          <w:lang w:val="en-US"/>
        </w:rPr>
        <w:drawing>
          <wp:inline distT="0" distB="0" distL="0" distR="0">
            <wp:extent cx="5667375" cy="3486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4" w:name="_Toc509844752"/>
      <w:bookmarkStart w:id="85" w:name="_Toc92133149"/>
      <w:r>
        <w:rPr>
          <w:rFonts w:hint="eastAsia"/>
        </w:rPr>
        <w:t>风速放大系数达标分析</w:t>
      </w:r>
      <w:bookmarkEnd w:id="84"/>
      <w:bookmarkEnd w:id="85"/>
    </w:p>
    <w:p>
      <w:pPr>
        <w:pStyle w:val="6"/>
      </w:pPr>
      <w:r>
        <w:rPr>
          <w:rFonts w:hint="eastAsia"/>
        </w:rPr>
        <w:t>人行区域</w:t>
      </w:r>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6" w:name="冬季工况人行区风速放大系数分析结论"/>
      <w:bookmarkEnd w:id="86"/>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87" w:name="冬季工况人行区风速放大系数云图"/>
      <w:bookmarkEnd w:id="87"/>
      <w:r>
        <w:rPr>
          <w:lang w:val="en-US"/>
        </w:rPr>
        <w:drawing>
          <wp:inline distT="0" distB="0" distL="0" distR="0">
            <wp:extent cx="5667375" cy="3429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4290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88" w:name="冬季工况风速放大系数分析结论"/>
      <w:r>
        <w:t>建筑周围没有风速放大系数超限区域，可以采用该建筑布局。</w:t>
      </w:r>
      <w:bookmarkEnd w:id="88"/>
    </w:p>
    <w:p>
      <w:pPr>
        <w:pStyle w:val="13"/>
        <w:jc w:val="center"/>
        <w:rPr>
          <w:lang w:val="en-US"/>
        </w:rPr>
      </w:pPr>
      <w:bookmarkStart w:id="89" w:name="冬季工况风速放大系数云图"/>
      <w:bookmarkEnd w:id="89"/>
      <w:r>
        <w:rPr>
          <w:lang w:val="en-US"/>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4</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90" w:name="_Toc92133150"/>
      <w:bookmarkStart w:id="91" w:name="_Toc509844753"/>
      <w:r>
        <w:rPr>
          <w:rFonts w:hint="eastAsia" w:cs="宋体"/>
          <w:lang w:val="en-GB"/>
        </w:rPr>
        <w:t>人行区域</w:t>
      </w:r>
      <w:r>
        <w:rPr>
          <w:rFonts w:hint="eastAsia"/>
        </w:rPr>
        <w:t>冬季工况风速/风速放大系数达标判定</w:t>
      </w:r>
      <w:bookmarkEnd w:id="90"/>
      <w:bookmarkEnd w:id="91"/>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92" w:name="冬季工况风速要求2019"/>
            <w:r>
              <w:rPr>
                <w:rFonts w:hint="eastAsia" w:ascii="宋体" w:hAnsi="宋体" w:cs="宋体"/>
                <w:szCs w:val="21"/>
              </w:rPr>
              <w:t xml:space="preserve">或 </w:t>
            </w:r>
            <w:r>
              <w:rPr>
                <w:rFonts w:ascii="宋体" w:hAnsi="宋体" w:cs="宋体"/>
                <w:szCs w:val="21"/>
              </w:rPr>
              <w:t>&lt;2m/s</w:t>
            </w:r>
            <w:bookmarkEnd w:id="92"/>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3" w:name="冬季工况风速是否有超限区域"/>
            <w:r>
              <w:rPr>
                <w:rFonts w:hint="eastAsia" w:ascii="宋体" w:hAnsi="宋体" w:cs="宋体"/>
                <w:color w:val="FF0000"/>
                <w:sz w:val="22"/>
                <w:szCs w:val="22"/>
                <w:lang w:val="en-US"/>
              </w:rPr>
              <w:t>是</w:t>
            </w:r>
            <w:bookmarkEnd w:id="93"/>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4" w:name="冬季工况风速达标判断"/>
            <w:r>
              <w:rPr>
                <w:rFonts w:hint="eastAsia" w:ascii="宋体" w:hAnsi="宋体" w:cs="宋体"/>
                <w:color w:val="FF0000"/>
                <w:sz w:val="22"/>
                <w:szCs w:val="22"/>
                <w:lang w:val="en-US"/>
              </w:rPr>
              <w:t>否</w:t>
            </w:r>
            <w:bookmarkEnd w:id="94"/>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5" w:name="冬季工况风速放大系数是否有超限区域"/>
            <w:r>
              <w:rPr>
                <w:rFonts w:hint="eastAsia" w:ascii="宋体" w:hAnsi="宋体" w:cs="宋体"/>
                <w:color w:val="000000"/>
                <w:sz w:val="22"/>
                <w:szCs w:val="22"/>
                <w:lang w:val="en-US"/>
              </w:rPr>
              <w:t>否</w:t>
            </w:r>
            <w:bookmarkEnd w:id="9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6" w:name="冬季工况风速放大系数达标判断"/>
            <w:r>
              <w:rPr>
                <w:rFonts w:hint="eastAsia" w:ascii="宋体" w:hAnsi="宋体" w:cs="宋体"/>
                <w:color w:val="000000"/>
                <w:sz w:val="22"/>
                <w:szCs w:val="22"/>
                <w:lang w:val="en-US"/>
              </w:rPr>
              <w:t>是</w:t>
            </w:r>
            <w:bookmarkEnd w:id="96"/>
          </w:p>
        </w:tc>
      </w:tr>
    </w:tbl>
    <w:p>
      <w:pPr>
        <w:pStyle w:val="5"/>
      </w:pPr>
      <w:bookmarkStart w:id="97" w:name="_Toc509844757"/>
      <w:bookmarkEnd w:id="97"/>
      <w:bookmarkStart w:id="98" w:name="_Toc509844754"/>
      <w:bookmarkEnd w:id="98"/>
      <w:bookmarkStart w:id="99" w:name="_Toc509844756"/>
      <w:bookmarkEnd w:id="99"/>
      <w:bookmarkStart w:id="100" w:name="_Toc509844755"/>
      <w:bookmarkEnd w:id="100"/>
      <w:bookmarkStart w:id="101" w:name="_Toc92133151"/>
      <w:bookmarkStart w:id="102" w:name="_Toc509844758"/>
      <w:r>
        <w:rPr>
          <w:rFonts w:hint="eastAsia"/>
        </w:rPr>
        <w:t>建筑迎风面和背风面风压分析</w:t>
      </w:r>
      <w:bookmarkEnd w:id="101"/>
      <w:bookmarkEnd w:id="102"/>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03" w:name="冬季工况建筑迎风面风压云图"/>
      <w:bookmarkEnd w:id="103"/>
      <w:r>
        <w:rPr>
          <w:lang w:val="en-US"/>
        </w:rPr>
        <w:drawing>
          <wp:inline distT="0" distB="0" distL="0" distR="0">
            <wp:extent cx="5667375" cy="36195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5"/>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04" w:name="冬季工况建筑背风面风压云图"/>
      <w:bookmarkEnd w:id="104"/>
      <w:r>
        <w:rPr>
          <w:lang w:val="en-US"/>
        </w:rPr>
        <w:drawing>
          <wp:inline distT="0" distB="0" distL="0" distR="0">
            <wp:extent cx="5667375" cy="36385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6"/>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05"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6" w:name="建筑迎背风面风压差表_建筑名"/>
      <w:r>
        <w:rPr>
          <w:rFonts w:ascii="Cambria" w:hAnsi="Cambria" w:eastAsia="黑体"/>
          <w:sz w:val="20"/>
        </w:rPr>
        <w:t>DT单体(1)</w:t>
      </w:r>
      <w:bookmarkEnd w:id="106"/>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-5.25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7.72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-5.72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6.64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-4.95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-5.64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-7.38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-6.42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5.51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-0.28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-5.25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4.97</w:t>
            </w:r>
          </w:p>
        </w:tc>
      </w:tr>
    </w:tbl>
    <w:p>
      <w:bookmarkStart w:id="107" w:name="结论"/>
      <w:bookmarkEnd w:id="107"/>
      <w:r>
        <w:t>标准要求：迎背风面窗平均风压差（绝对值）≤5Pa。结论：该楼</w:t>
      </w:r>
      <w:r>
        <w:rPr>
          <w:b/>
          <w:color w:val="0000FF"/>
        </w:rPr>
        <w:t>达标</w:t>
      </w:r>
      <w:r>
        <w:t>。</w:t>
      </w:r>
    </w:p>
    <w:bookmarkEnd w:id="105"/>
    <w:p>
      <w:pPr>
        <w:jc w:val="center"/>
        <w:rPr>
          <w:rFonts w:ascii="Cambria" w:hAnsi="Cambria" w:eastAsia="黑体"/>
          <w:sz w:val="20"/>
        </w:rPr>
      </w:pPr>
      <w:bookmarkStart w:id="108" w:name="建筑迎背风面风压差表_新增"/>
      <w:bookmarkEnd w:id="108"/>
      <w:bookmarkStart w:id="109" w:name="建筑迎背风面风压差表"/>
    </w:p>
    <w:bookmarkEnd w:id="109"/>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0"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1#</w:t>
            </w:r>
          </w:p>
        </w:tc>
        <w:tc>
          <w:tcPr>
            <w:tcW w:w="1276" w:type="dxa"/>
            <w:shd w:val="clear" w:color="auto" w:fill="auto"/>
            <w:vAlign w:val="center"/>
          </w:tcPr>
          <w:p>
            <w:pPr>
              <w:jc w:val="center"/>
              <w:rPr>
                <w:lang w:val="en-US"/>
              </w:rPr>
            </w:pPr>
            <w:r>
              <w:rPr>
                <w:lang w:val="en-US"/>
              </w:rPr>
              <w:t>3.33</w:t>
            </w:r>
          </w:p>
        </w:tc>
        <w:tc>
          <w:tcPr>
            <w:tcW w:w="1276" w:type="dxa"/>
            <w:shd w:val="clear" w:color="auto" w:fill="auto"/>
            <w:vAlign w:val="center"/>
          </w:tcPr>
          <w:p>
            <w:pPr>
              <w:jc w:val="center"/>
              <w:rPr>
                <w:lang w:val="en-US"/>
              </w:rPr>
            </w:pPr>
            <w:r>
              <w:rPr>
                <w:lang w:val="en-US"/>
              </w:rPr>
              <w:t>-5.94</w:t>
            </w:r>
          </w:p>
        </w:tc>
        <w:tc>
          <w:tcPr>
            <w:tcW w:w="1701" w:type="dxa"/>
            <w:shd w:val="clear" w:color="auto" w:fill="auto"/>
            <w:vAlign w:val="center"/>
          </w:tcPr>
          <w:p>
            <w:pPr>
              <w:jc w:val="center"/>
              <w:rPr>
                <w:lang w:val="en-US"/>
              </w:rPr>
            </w:pPr>
            <w:r>
              <w:rPr>
                <w:lang w:val="en-US"/>
              </w:rPr>
              <w:t>9.28</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w:t>
            </w:r>
          </w:p>
        </w:tc>
        <w:tc>
          <w:tcPr>
            <w:tcW w:w="1276" w:type="dxa"/>
            <w:shd w:val="clear" w:color="auto" w:fill="auto"/>
            <w:vAlign w:val="center"/>
          </w:tcPr>
          <w:p>
            <w:pPr>
              <w:jc w:val="center"/>
              <w:rPr>
                <w:lang w:val="en-US"/>
              </w:rPr>
            </w:pPr>
            <w:r>
              <w:rPr>
                <w:lang w:val="en-US"/>
              </w:rPr>
              <w:t>2.62</w:t>
            </w:r>
          </w:p>
        </w:tc>
        <w:tc>
          <w:tcPr>
            <w:tcW w:w="1276" w:type="dxa"/>
            <w:shd w:val="clear" w:color="auto" w:fill="auto"/>
            <w:vAlign w:val="center"/>
          </w:tcPr>
          <w:p>
            <w:pPr>
              <w:jc w:val="center"/>
              <w:rPr>
                <w:lang w:val="en-US"/>
              </w:rPr>
            </w:pPr>
            <w:r>
              <w:rPr>
                <w:lang w:val="en-US"/>
              </w:rPr>
              <w:t>-6.39</w:t>
            </w:r>
          </w:p>
        </w:tc>
        <w:tc>
          <w:tcPr>
            <w:tcW w:w="1701" w:type="dxa"/>
            <w:shd w:val="clear" w:color="auto" w:fill="auto"/>
            <w:vAlign w:val="center"/>
          </w:tcPr>
          <w:p>
            <w:pPr>
              <w:jc w:val="center"/>
              <w:rPr>
                <w:lang w:val="en-US"/>
              </w:rPr>
            </w:pPr>
            <w:r>
              <w:rPr>
                <w:lang w:val="en-US"/>
              </w:rPr>
              <w:t>9.01</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4#</w:t>
            </w:r>
          </w:p>
        </w:tc>
        <w:tc>
          <w:tcPr>
            <w:tcW w:w="1276" w:type="dxa"/>
            <w:shd w:val="clear" w:color="auto" w:fill="auto"/>
            <w:vAlign w:val="center"/>
          </w:tcPr>
          <w:p>
            <w:pPr>
              <w:jc w:val="center"/>
              <w:rPr>
                <w:lang w:val="en-US"/>
              </w:rPr>
            </w:pPr>
            <w:r>
              <w:rPr>
                <w:lang w:val="en-US"/>
              </w:rPr>
              <w:t>1.77</w:t>
            </w:r>
          </w:p>
        </w:tc>
        <w:tc>
          <w:tcPr>
            <w:tcW w:w="1276" w:type="dxa"/>
            <w:shd w:val="clear" w:color="auto" w:fill="auto"/>
            <w:vAlign w:val="center"/>
          </w:tcPr>
          <w:p>
            <w:pPr>
              <w:jc w:val="center"/>
              <w:rPr>
                <w:lang w:val="en-US"/>
              </w:rPr>
            </w:pPr>
            <w:r>
              <w:rPr>
                <w:lang w:val="en-US"/>
              </w:rPr>
              <w:t>-6.87</w:t>
            </w:r>
          </w:p>
        </w:tc>
        <w:tc>
          <w:tcPr>
            <w:tcW w:w="1701" w:type="dxa"/>
            <w:shd w:val="clear" w:color="auto" w:fill="auto"/>
            <w:vAlign w:val="center"/>
          </w:tcPr>
          <w:p>
            <w:pPr>
              <w:jc w:val="center"/>
              <w:rPr>
                <w:lang w:val="en-US"/>
              </w:rPr>
            </w:pPr>
            <w:r>
              <w:rPr>
                <w:lang w:val="en-US"/>
              </w:rPr>
              <w:t>8.64</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3#</w:t>
            </w:r>
          </w:p>
        </w:tc>
        <w:tc>
          <w:tcPr>
            <w:tcW w:w="1276" w:type="dxa"/>
            <w:shd w:val="clear" w:color="auto" w:fill="auto"/>
            <w:vAlign w:val="center"/>
          </w:tcPr>
          <w:p>
            <w:pPr>
              <w:jc w:val="center"/>
              <w:rPr>
                <w:lang w:val="en-US"/>
              </w:rPr>
            </w:pPr>
            <w:r>
              <w:rPr>
                <w:lang w:val="en-US"/>
              </w:rPr>
              <w:t>0.05</w:t>
            </w:r>
          </w:p>
        </w:tc>
        <w:tc>
          <w:tcPr>
            <w:tcW w:w="1276" w:type="dxa"/>
            <w:shd w:val="clear" w:color="auto" w:fill="auto"/>
            <w:vAlign w:val="center"/>
          </w:tcPr>
          <w:p>
            <w:pPr>
              <w:jc w:val="center"/>
              <w:rPr>
                <w:lang w:val="en-US"/>
              </w:rPr>
            </w:pPr>
            <w:r>
              <w:rPr>
                <w:lang w:val="en-US"/>
              </w:rPr>
              <w:t>-4.23</w:t>
            </w:r>
          </w:p>
        </w:tc>
        <w:tc>
          <w:tcPr>
            <w:tcW w:w="1701" w:type="dxa"/>
            <w:shd w:val="clear" w:color="auto" w:fill="auto"/>
            <w:vAlign w:val="center"/>
          </w:tcPr>
          <w:p>
            <w:pPr>
              <w:jc w:val="center"/>
              <w:rPr>
                <w:lang w:val="en-US"/>
              </w:rPr>
            </w:pPr>
            <w:r>
              <w:rPr>
                <w:lang w:val="en-US"/>
              </w:rPr>
              <w:t>4.28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6#</w:t>
            </w:r>
          </w:p>
        </w:tc>
        <w:tc>
          <w:tcPr>
            <w:tcW w:w="1276" w:type="dxa"/>
            <w:shd w:val="clear" w:color="auto" w:fill="auto"/>
            <w:vAlign w:val="center"/>
          </w:tcPr>
          <w:p>
            <w:pPr>
              <w:jc w:val="center"/>
              <w:rPr>
                <w:lang w:val="en-US"/>
              </w:rPr>
            </w:pPr>
            <w:r>
              <w:rPr>
                <w:lang w:val="en-US"/>
              </w:rPr>
              <w:t>-1.18</w:t>
            </w:r>
          </w:p>
        </w:tc>
        <w:tc>
          <w:tcPr>
            <w:tcW w:w="1276" w:type="dxa"/>
            <w:shd w:val="clear" w:color="auto" w:fill="auto"/>
            <w:vAlign w:val="center"/>
          </w:tcPr>
          <w:p>
            <w:pPr>
              <w:jc w:val="center"/>
              <w:rPr>
                <w:lang w:val="en-US"/>
              </w:rPr>
            </w:pPr>
            <w:r>
              <w:rPr>
                <w:lang w:val="en-US"/>
              </w:rPr>
              <w:t>-5.23</w:t>
            </w:r>
          </w:p>
        </w:tc>
        <w:tc>
          <w:tcPr>
            <w:tcW w:w="1701" w:type="dxa"/>
            <w:shd w:val="clear" w:color="auto" w:fill="auto"/>
            <w:vAlign w:val="center"/>
          </w:tcPr>
          <w:p>
            <w:pPr>
              <w:jc w:val="center"/>
              <w:rPr>
                <w:lang w:val="en-US"/>
              </w:rPr>
            </w:pPr>
            <w:r>
              <w:rPr>
                <w:lang w:val="en-US"/>
              </w:rPr>
              <w:t>4.05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DT单体(1)</w:t>
            </w:r>
          </w:p>
        </w:tc>
        <w:tc>
          <w:tcPr>
            <w:tcW w:w="1276" w:type="dxa"/>
            <w:shd w:val="clear" w:color="auto" w:fill="auto"/>
            <w:vAlign w:val="center"/>
          </w:tcPr>
          <w:p>
            <w:pPr>
              <w:jc w:val="center"/>
              <w:rPr>
                <w:lang w:val="en-US"/>
              </w:rPr>
            </w:pPr>
            <w:r>
              <w:rPr>
                <w:lang w:val="en-US"/>
              </w:rPr>
              <w:t>-0.28</w:t>
            </w:r>
          </w:p>
        </w:tc>
        <w:tc>
          <w:tcPr>
            <w:tcW w:w="1276" w:type="dxa"/>
            <w:shd w:val="clear" w:color="auto" w:fill="auto"/>
            <w:vAlign w:val="center"/>
          </w:tcPr>
          <w:p>
            <w:pPr>
              <w:jc w:val="center"/>
              <w:rPr>
                <w:lang w:val="en-US"/>
              </w:rPr>
            </w:pPr>
            <w:r>
              <w:rPr>
                <w:lang w:val="en-US"/>
              </w:rPr>
              <w:t>-5.25</w:t>
            </w:r>
          </w:p>
        </w:tc>
        <w:tc>
          <w:tcPr>
            <w:tcW w:w="1701" w:type="dxa"/>
            <w:shd w:val="clear" w:color="auto" w:fill="auto"/>
            <w:vAlign w:val="center"/>
          </w:tcPr>
          <w:p>
            <w:pPr>
              <w:jc w:val="center"/>
              <w:rPr>
                <w:lang w:val="en-US"/>
              </w:rPr>
            </w:pPr>
            <w:r>
              <w:rPr>
                <w:lang w:val="en-US"/>
              </w:rPr>
              <w:t>4.97</w:t>
            </w:r>
          </w:p>
        </w:tc>
        <w:tc>
          <w:tcPr>
            <w:tcW w:w="973" w:type="dxa"/>
            <w:shd w:val="clear" w:color="auto" w:fill="auto"/>
            <w:vAlign w:val="center"/>
          </w:tcPr>
          <w:p>
            <w:pPr>
              <w:jc w:val="center"/>
              <w:rPr>
                <w:lang w:val="en-US"/>
              </w:rPr>
            </w:pPr>
            <w:r>
              <w:rPr>
                <w:lang w:val="en-US"/>
              </w:rPr>
              <w:t>是</w:t>
            </w:r>
          </w:p>
        </w:tc>
      </w:tr>
      <w:bookmarkEnd w:id="110"/>
    </w:tbl>
    <w:p>
      <w:pPr>
        <w:rPr>
          <w:lang w:val="en-US"/>
        </w:rPr>
      </w:pPr>
      <w:bookmarkStart w:id="111" w:name="建筑迎风和背风面风压差结论汇总结论"/>
      <w:bookmarkEnd w:id="111"/>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12" w:name="冬季工况"/>
      <w:bookmarkEnd w:id="112"/>
      <w:r>
        <w:rPr>
          <w:rFonts w:hint="eastAsia"/>
          <w:lang w:val="en-US"/>
        </w:rPr>
        <w:t xml:space="preserve"> </w:t>
      </w:r>
    </w:p>
    <w:p>
      <w:pPr>
        <w:pStyle w:val="4"/>
      </w:pPr>
      <w:bookmarkStart w:id="113" w:name="季节1"/>
      <w:bookmarkStart w:id="114" w:name="_Toc509844759"/>
      <w:bookmarkStart w:id="115" w:name="_Toc92133152"/>
      <w:r>
        <w:rPr>
          <w:rFonts w:hint="eastAsia"/>
        </w:rPr>
        <w:t>夏季</w:t>
      </w:r>
      <w:bookmarkEnd w:id="113"/>
      <w:r>
        <w:rPr>
          <w:rFonts w:hint="eastAsia"/>
        </w:rPr>
        <w:t>工况</w:t>
      </w:r>
      <w:bookmarkEnd w:id="114"/>
      <w:bookmarkEnd w:id="115"/>
    </w:p>
    <w:p>
      <w:pPr>
        <w:pStyle w:val="3"/>
        <w:ind w:firstLine="420"/>
      </w:pPr>
      <w:r>
        <w:rPr>
          <w:rFonts w:hint="eastAsia"/>
          <w:lang w:val="en-US"/>
        </w:rPr>
        <w:t>本项目</w:t>
      </w:r>
      <w:bookmarkStart w:id="116" w:name="季节2"/>
      <w:r>
        <w:rPr>
          <w:rFonts w:hint="eastAsia"/>
          <w:lang w:val="en-US"/>
        </w:rPr>
        <w:t>夏季</w:t>
      </w:r>
      <w:bookmarkEnd w:id="116"/>
      <w:r>
        <w:rPr>
          <w:rFonts w:hint="eastAsia"/>
          <w:lang w:val="en-US"/>
        </w:rPr>
        <w:t>工况的入口边界风速为</w:t>
      </w:r>
      <w:bookmarkStart w:id="117" w:name="入口边界风速"/>
      <w:r>
        <w:rPr>
          <w:rFonts w:hint="eastAsia"/>
          <w:lang w:val="en-US"/>
        </w:rPr>
        <w:t>1.00</w:t>
      </w:r>
      <w:bookmarkEnd w:id="117"/>
      <w:r>
        <w:rPr>
          <w:rFonts w:hint="eastAsia"/>
          <w:lang w:val="en-US"/>
        </w:rPr>
        <w:t>m/s，风向为</w:t>
      </w:r>
      <w:bookmarkStart w:id="118" w:name="入口边界风向"/>
      <w:r>
        <w:t>E</w:t>
      </w:r>
      <w:bookmarkEnd w:id="118"/>
      <w:r>
        <w:rPr>
          <w:rFonts w:hint="eastAsia"/>
          <w:lang w:val="en-US"/>
        </w:rPr>
        <w:t>。</w:t>
      </w:r>
    </w:p>
    <w:p>
      <w:pPr>
        <w:pStyle w:val="3"/>
        <w:ind w:firstLine="420"/>
      </w:pPr>
      <w:r>
        <w:rPr>
          <w:rFonts w:hint="eastAsia"/>
          <w:lang w:val="en-US"/>
        </w:rPr>
        <w:t>根据前述《绿色建筑评价标准》 对于夏季工况的要求，</w:t>
      </w:r>
      <w:bookmarkStart w:id="119" w:name="季节3"/>
      <w:r>
        <w:rPr>
          <w:rFonts w:hint="eastAsia"/>
          <w:lang w:val="en-US"/>
        </w:rPr>
        <w:t>夏季</w:t>
      </w:r>
      <w:bookmarkEnd w:id="119"/>
      <w:r>
        <w:rPr>
          <w:rFonts w:hint="eastAsia"/>
          <w:lang w:val="en-US"/>
        </w:rPr>
        <w:t>典型风速和风向条件下，场地内人活动区不出现涡旋或无风区。通过该项标准指导设计确保合理的建筑布局，在</w:t>
      </w:r>
      <w:bookmarkStart w:id="120" w:name="季节4"/>
      <w:r>
        <w:rPr>
          <w:rFonts w:hint="eastAsia"/>
          <w:lang w:val="en-US"/>
        </w:rPr>
        <w:t>夏季</w:t>
      </w:r>
      <w:bookmarkEnd w:id="120"/>
      <w:r>
        <w:rPr>
          <w:rFonts w:hint="eastAsia"/>
          <w:lang w:val="en-US"/>
        </w:rPr>
        <w:t>形成有效的巷道风，优化街区自然通风环境，避免</w:t>
      </w:r>
      <w:bookmarkStart w:id="121" w:name="季节5"/>
      <w:r>
        <w:rPr>
          <w:rFonts w:hint="eastAsia"/>
          <w:lang w:val="en-US"/>
        </w:rPr>
        <w:t>夏季</w:t>
      </w:r>
      <w:bookmarkEnd w:id="121"/>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22" w:name="_Toc509844760"/>
      <w:bookmarkStart w:id="123" w:name="_Toc92133153"/>
      <w:r>
        <w:rPr>
          <w:rFonts w:hint="eastAsia"/>
        </w:rPr>
        <w:t>无风区计算分析</w:t>
      </w:r>
      <w:bookmarkEnd w:id="122"/>
      <w:bookmarkEnd w:id="123"/>
    </w:p>
    <w:p>
      <w:pPr>
        <w:pStyle w:val="6"/>
      </w:pPr>
      <w:r>
        <w:rPr>
          <w:rFonts w:hint="eastAsia"/>
        </w:rPr>
        <w:t>人行区域</w:t>
      </w:r>
    </w:p>
    <w:p>
      <w:pPr>
        <w:pStyle w:val="3"/>
        <w:spacing w:after="156" w:afterLines="50"/>
        <w:ind w:firstLine="420"/>
        <w:jc w:val="left"/>
      </w:pPr>
      <w:r>
        <w:rPr>
          <w:rFonts w:hint="eastAsia"/>
          <w:lang w:val="en-US"/>
        </w:rPr>
        <w:t>本项目通过CFD计算获取整个计算域内以及人行区的风速分布，并通过速度下限为0</w:t>
      </w:r>
      <w:r>
        <w:rPr>
          <w:lang w:val="en-US"/>
        </w:rPr>
        <w:t>.</w:t>
      </w:r>
      <w:r>
        <w:rPr>
          <w:rFonts w:hint="eastAsia"/>
          <w:lang w:val="en-US"/>
        </w:rPr>
        <w:t>2m/s的速度等值线标示出超限区域。结合下列图和表中数据，</w:t>
      </w:r>
      <w:bookmarkStart w:id="124" w:name="人行区风速分析结论"/>
      <w:bookmarkEnd w:id="124"/>
      <w:r>
        <w:t>人行区内未标示出风速</w:t>
      </w:r>
      <w:r>
        <w:rPr>
          <w:color w:val="0000FF"/>
        </w:rPr>
        <w:t>小于</w:t>
      </w:r>
      <w:r>
        <w:t>0.2m/s的超限区域，因此人行区风速</w:t>
      </w:r>
      <w:r>
        <w:rPr>
          <w:color w:val="0000FF"/>
        </w:rPr>
        <w:t>满足</w:t>
      </w:r>
      <w:r>
        <w:t>绿标要求，项目可采用现有建筑布局。</w:t>
      </w:r>
    </w:p>
    <w:p>
      <w:pPr>
        <w:pStyle w:val="3"/>
        <w:spacing w:after="156" w:afterLines="50"/>
        <w:ind w:firstLine="0" w:firstLineChars="0"/>
        <w:jc w:val="center"/>
      </w:pPr>
      <w:bookmarkStart w:id="125" w:name="人行区风速云图"/>
      <w:bookmarkEnd w:id="125"/>
      <w:r>
        <w:rPr>
          <w:lang w:val="en-US"/>
        </w:rPr>
        <w:drawing>
          <wp:inline distT="0" distB="0" distL="0" distR="0">
            <wp:extent cx="5667375" cy="34671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7"/>
                    <a:stretch>
                      <a:fillRect/>
                    </a:stretch>
                  </pic:blipFill>
                  <pic:spPr>
                    <a:xfrm>
                      <a:off x="0" y="0"/>
                      <a:ext cx="5667375" cy="34671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w:t>
      </w:r>
      <w:bookmarkStart w:id="126" w:name="季节6"/>
      <w:r>
        <w:rPr>
          <w:rFonts w:hint="eastAsia" w:ascii="黑体" w:hAnsi="黑体" w:eastAsia="黑体"/>
          <w:sz w:val="20"/>
          <w:szCs w:val="20"/>
        </w:rPr>
        <w:t>夏季</w:t>
      </w:r>
      <w:bookmarkEnd w:id="126"/>
      <w:r>
        <w:rPr>
          <w:rFonts w:hint="eastAsia"/>
        </w:rPr>
        <w:t xml:space="preserve"> </w:t>
      </w:r>
    </w:p>
    <w:p>
      <w:pPr>
        <w:pStyle w:val="3"/>
        <w:tabs>
          <w:tab w:val="left" w:pos="426"/>
        </w:tabs>
        <w:ind w:firstLine="420"/>
      </w:pPr>
      <w:r>
        <w:rPr>
          <w:rFonts w:hint="eastAsia"/>
        </w:rPr>
        <w:t>下图为整个计算域内风速分布云图，参考图中速度分布可以对项目中建筑布局进行优化。分析下图，</w:t>
      </w:r>
      <w:bookmarkStart w:id="127" w:name="风速分析结论"/>
      <w:r>
        <w:t>黑色等值线标示出了人行区内风速小于0.2m/s的超限区域，因此未满足绿标要求，需调整建筑布局优化区域内风速分布。</w:t>
      </w:r>
      <w:bookmarkEnd w:id="127"/>
    </w:p>
    <w:p>
      <w:pPr>
        <w:pStyle w:val="3"/>
        <w:spacing w:after="156" w:afterLines="50"/>
        <w:ind w:firstLine="0" w:firstLineChars="0"/>
        <w:jc w:val="center"/>
      </w:pPr>
      <w:bookmarkStart w:id="128" w:name="风速云图"/>
      <w:bookmarkEnd w:id="128"/>
      <w:r>
        <w:rPr>
          <w:lang w:val="en-US"/>
        </w:rPr>
        <w:drawing>
          <wp:inline distT="0" distB="0" distL="0" distR="0">
            <wp:extent cx="5667375" cy="3486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8"/>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w:t>
      </w:r>
      <w:bookmarkStart w:id="129" w:name="季节7"/>
      <w:r>
        <w:rPr>
          <w:rFonts w:hint="eastAsia" w:ascii="黑体" w:hAnsi="黑体" w:eastAsia="黑体"/>
          <w:sz w:val="20"/>
          <w:szCs w:val="20"/>
        </w:rPr>
        <w:t>夏季</w:t>
      </w:r>
      <w:bookmarkEnd w:id="129"/>
    </w:p>
    <w:p>
      <w:pPr>
        <w:pStyle w:val="5"/>
      </w:pPr>
      <w:bookmarkStart w:id="130" w:name="_Toc92133154"/>
      <w:bookmarkStart w:id="131" w:name="_Toc509844761"/>
      <w:r>
        <w:rPr>
          <w:rFonts w:hint="eastAsia"/>
        </w:rPr>
        <w:t>旋涡区分析</w:t>
      </w:r>
      <w:bookmarkEnd w:id="130"/>
      <w:bookmarkEnd w:id="131"/>
    </w:p>
    <w:p>
      <w:pPr>
        <w:pStyle w:val="6"/>
      </w:pPr>
      <w:r>
        <w:rPr>
          <w:rFonts w:hint="eastAsia"/>
        </w:rPr>
        <w:t>人行区域</w:t>
      </w:r>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旋涡区的空气流运动体现在风速矢量图中，即若干矢量箭头以某位置为中心顺时针或者逆时针旋转呈螺旋状分布。分析下图可知，人行区没有明显的旋涡产生，因此满足绿标要求。</w:t>
      </w:r>
    </w:p>
    <w:p>
      <w:pPr>
        <w:pStyle w:val="3"/>
        <w:ind w:firstLine="0" w:firstLineChars="0"/>
        <w:jc w:val="center"/>
        <w:rPr>
          <w:lang w:val="en-US"/>
        </w:rPr>
      </w:pPr>
      <w:bookmarkStart w:id="132" w:name="人行区风速矢量图"/>
      <w:bookmarkEnd w:id="132"/>
      <w:r>
        <w:rPr>
          <w:lang w:val="en-US"/>
        </w:rPr>
        <w:drawing>
          <wp:inline distT="0" distB="0" distL="0" distR="0">
            <wp:extent cx="5667375" cy="36195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9"/>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人行区域-1.5米高度水平面风速矢量图</w:t>
      </w:r>
      <w:r>
        <w:rPr>
          <w:rFonts w:hint="eastAsia"/>
          <w:lang w:val="en-US"/>
        </w:rPr>
        <w:t xml:space="preserve"> </w:t>
      </w:r>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33" w:name="风速矢量图"/>
      <w:bookmarkEnd w:id="133"/>
      <w:r>
        <w:rPr>
          <w:lang w:val="en-US"/>
        </w:rPr>
        <w:drawing>
          <wp:inline distT="0" distB="0" distL="0" distR="0">
            <wp:extent cx="5667375" cy="3667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80"/>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134" w:name="_Toc92133155"/>
      <w:bookmarkStart w:id="135" w:name="_Toc509844762"/>
      <w:r>
        <w:rPr>
          <w:rFonts w:hint="eastAsia"/>
        </w:rPr>
        <w:t>人行区域旋涡区/无风区达标判定</w:t>
      </w:r>
      <w:bookmarkEnd w:id="134"/>
      <w:bookmarkEnd w:id="13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6" w:name="季节8"/>
      <w:r>
        <w:rPr>
          <w:rFonts w:hint="eastAsia" w:ascii="黑体" w:hAnsi="黑体" w:eastAsia="黑体"/>
          <w:sz w:val="20"/>
          <w:szCs w:val="20"/>
        </w:rPr>
        <w:t>夏季</w:t>
      </w:r>
      <w:bookmarkEnd w:id="13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7" w:name="是否有无风区"/>
            <w:r>
              <w:rPr>
                <w:rFonts w:hint="eastAsia" w:ascii="宋体" w:hAnsi="宋体" w:cs="宋体"/>
                <w:color w:val="000000"/>
                <w:sz w:val="22"/>
                <w:szCs w:val="22"/>
                <w:lang w:val="en-US"/>
              </w:rPr>
              <w:t>否</w:t>
            </w:r>
            <w:bookmarkEnd w:id="13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8" w:name="无风区达标判断"/>
            <w:r>
              <w:rPr>
                <w:rFonts w:hint="eastAsia" w:ascii="宋体" w:hAnsi="宋体" w:cs="宋体"/>
                <w:color w:val="000000"/>
                <w:sz w:val="22"/>
                <w:szCs w:val="22"/>
                <w:lang w:val="en-US"/>
              </w:rPr>
              <w:t>是</w:t>
            </w:r>
            <w:bookmarkEnd w:id="138"/>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139" w:name="_Toc504501018"/>
      <w:bookmarkStart w:id="140" w:name="_Toc92133156"/>
      <w:bookmarkStart w:id="141" w:name="_Toc509844763"/>
      <w:r>
        <w:rPr>
          <w:rFonts w:hint="eastAsia"/>
        </w:rPr>
        <w:t>外窗内外表面风压</w:t>
      </w:r>
      <w:bookmarkEnd w:id="139"/>
      <w:r>
        <w:rPr>
          <w:rFonts w:hint="eastAsia"/>
        </w:rPr>
        <w:t>差达标分析</w:t>
      </w:r>
      <w:bookmarkEnd w:id="140"/>
      <w:bookmarkEnd w:id="141"/>
    </w:p>
    <w:p>
      <w:pPr>
        <w:pStyle w:val="3"/>
        <w:ind w:firstLine="420"/>
      </w:pPr>
      <w:r>
        <w:rPr>
          <w:rFonts w:hint="eastAsia"/>
          <w:lang w:val="en-US"/>
        </w:rPr>
        <w:t>分析《绿色建筑评价标准》，</w:t>
      </w:r>
      <w:bookmarkStart w:id="142" w:name="季节9"/>
      <w:r>
        <w:rPr>
          <w:rFonts w:hint="eastAsia"/>
          <w:lang w:val="en-US"/>
        </w:rPr>
        <w:t>夏季</w:t>
      </w:r>
      <w:bookmarkEnd w:id="142"/>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3" w:name="迎风面风压云图"/>
      <w:bookmarkEnd w:id="143"/>
      <w:r>
        <w:rPr>
          <w:lang w:val="en-US"/>
        </w:rPr>
        <w:drawing>
          <wp:inline distT="0" distB="0" distL="0" distR="0">
            <wp:extent cx="5667375" cy="36195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81"/>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4" w:name="季节10"/>
      <w:r>
        <w:rPr>
          <w:rFonts w:hint="eastAsia" w:ascii="黑体" w:hAnsi="黑体" w:eastAsia="黑体"/>
          <w:sz w:val="20"/>
          <w:szCs w:val="20"/>
        </w:rPr>
        <w:t>夏季</w:t>
      </w:r>
      <w:bookmarkEnd w:id="144"/>
    </w:p>
    <w:p>
      <w:pPr>
        <w:pStyle w:val="13"/>
        <w:jc w:val="center"/>
      </w:pPr>
      <w:bookmarkStart w:id="145" w:name="背风面风压云图"/>
      <w:bookmarkEnd w:id="145"/>
      <w:r>
        <w:rPr>
          <w:lang w:val="en-US"/>
        </w:rPr>
        <w:drawing>
          <wp:inline distT="0" distB="0" distL="0" distR="0">
            <wp:extent cx="5667375" cy="36385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2"/>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6" w:name="季节11"/>
      <w:r>
        <w:rPr>
          <w:rFonts w:hint="eastAsia" w:ascii="黑体" w:hAnsi="黑体" w:eastAsia="黑体"/>
          <w:sz w:val="20"/>
          <w:szCs w:val="20"/>
        </w:rPr>
        <w:t>夏季</w:t>
      </w:r>
      <w:bookmarkEnd w:id="146"/>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DT单体(1)</w:t>
            </w:r>
          </w:p>
        </w:tc>
        <w:tc>
          <w:tcPr>
            <w:tcW w:w="1134" w:type="dxa"/>
            <w:shd w:val="clear" w:color="auto" w:fill="auto"/>
            <w:vAlign w:val="center"/>
          </w:tcPr>
          <w:p>
            <w:pPr>
              <w:jc w:val="center"/>
              <w:rPr>
                <w:lang w:val="en-US"/>
              </w:rPr>
            </w:pPr>
            <w:r>
              <w:rPr>
                <w:lang w:val="en-US"/>
              </w:rPr>
              <w:t>181</w:t>
            </w:r>
          </w:p>
        </w:tc>
        <w:tc>
          <w:tcPr>
            <w:tcW w:w="1984" w:type="dxa"/>
            <w:shd w:val="clear" w:color="auto" w:fill="auto"/>
            <w:vAlign w:val="center"/>
          </w:tcPr>
          <w:p>
            <w:pPr>
              <w:jc w:val="center"/>
              <w:rPr>
                <w:lang w:val="en-US"/>
              </w:rPr>
            </w:pPr>
            <w:r>
              <w:rPr>
                <w:lang w:val="en-US"/>
              </w:rPr>
              <w:t>0</w:t>
            </w:r>
          </w:p>
        </w:tc>
        <w:tc>
          <w:tcPr>
            <w:tcW w:w="1116" w:type="dxa"/>
            <w:shd w:val="clear" w:color="auto" w:fill="auto"/>
            <w:vAlign w:val="center"/>
          </w:tcPr>
          <w:p>
            <w:pPr>
              <w:jc w:val="center"/>
              <w:rPr>
                <w:lang w:val="en-US"/>
              </w:rPr>
            </w:pPr>
            <w:r>
              <w:rPr>
                <w:lang w:val="en-US"/>
              </w:rPr>
              <w:t>0.00</w:t>
            </w:r>
          </w:p>
        </w:tc>
        <w:tc>
          <w:tcPr>
            <w:tcW w:w="708" w:type="dxa"/>
            <w:shd w:val="clear" w:color="auto" w:fill="auto"/>
            <w:vAlign w:val="center"/>
          </w:tcPr>
          <w:p>
            <w:pPr>
              <w:jc w:val="center"/>
              <w:rPr>
                <w:lang w:val="en-US"/>
              </w:rPr>
            </w:pPr>
            <w:r>
              <w:rPr>
                <w:lang w:val="en-US"/>
              </w:rPr>
              <w:t>否</w:t>
            </w:r>
          </w:p>
        </w:tc>
      </w:tr>
    </w:tbl>
    <w:p>
      <w:r>
        <w:rPr>
          <w:rFonts w:hint="eastAsia"/>
          <w:lang w:val="en-US"/>
        </w:rPr>
        <w:t>说明：达标比例＝（室内外风压差大于0.5Pa的总数/可开启外窗总数）*100％</w:t>
      </w:r>
    </w:p>
    <w:p>
      <w:pPr>
        <w:rPr>
          <w:lang w:val="en-US"/>
        </w:rPr>
      </w:pPr>
      <w:bookmarkStart w:id="147" w:name="建筑外窗室内外风压差达标判定"/>
      <w:bookmarkEnd w:id="147"/>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1#</w:t>
            </w:r>
          </w:p>
        </w:tc>
        <w:tc>
          <w:tcPr>
            <w:tcW w:w="1417" w:type="dxa"/>
            <w:vAlign w:val="center"/>
          </w:tcPr>
          <w:p>
            <w:pPr>
              <w:spacing w:line="360" w:lineRule="exact"/>
              <w:jc w:val="center"/>
              <w:rPr>
                <w:lang w:val="en-US"/>
              </w:rPr>
            </w:pPr>
            <w:r>
              <w:rPr>
                <w:lang w:val="en-US"/>
              </w:rPr>
              <w:t>6495.59</w:t>
            </w:r>
          </w:p>
        </w:tc>
        <w:tc>
          <w:tcPr>
            <w:tcW w:w="2552" w:type="dxa"/>
            <w:vAlign w:val="center"/>
          </w:tcPr>
          <w:p>
            <w:pPr>
              <w:spacing w:line="360" w:lineRule="exact"/>
              <w:jc w:val="center"/>
              <w:rPr>
                <w:lang w:val="en-US"/>
              </w:rPr>
            </w:pPr>
            <w:r>
              <w:rPr>
                <w:lang w:val="en-US"/>
              </w:rPr>
              <w:t>15.09</w:t>
            </w:r>
          </w:p>
        </w:tc>
        <w:tc>
          <w:tcPr>
            <w:tcW w:w="1134" w:type="dxa"/>
            <w:vAlign w:val="center"/>
          </w:tcPr>
          <w:p>
            <w:pPr>
              <w:spacing w:line="360" w:lineRule="exact"/>
              <w:jc w:val="center"/>
              <w:rPr>
                <w:lang w:val="en-US"/>
              </w:rPr>
            </w:pPr>
            <w:r>
              <w:rPr>
                <w:lang w:val="en-US"/>
              </w:rPr>
              <w:t>0.23</w:t>
            </w:r>
          </w:p>
        </w:tc>
        <w:tc>
          <w:tcPr>
            <w:tcW w:w="835" w:type="dxa"/>
            <w:vAlign w:val="center"/>
          </w:tcPr>
          <w:p>
            <w:pPr>
              <w:spacing w:line="360" w:lineRule="exact"/>
              <w:jc w:val="center"/>
              <w:rPr>
                <w:lang w:val="en-US"/>
              </w:rPr>
            </w:pPr>
            <w:r>
              <w:rPr>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2#</w:t>
            </w:r>
          </w:p>
        </w:tc>
        <w:tc>
          <w:tcPr>
            <w:tcW w:w="1417" w:type="dxa"/>
            <w:vAlign w:val="center"/>
          </w:tcPr>
          <w:p>
            <w:pPr>
              <w:spacing w:line="360" w:lineRule="exact"/>
              <w:jc w:val="center"/>
              <w:rPr>
                <w:lang w:val="en-US"/>
              </w:rPr>
            </w:pPr>
            <w:r>
              <w:rPr>
                <w:lang w:val="en-US"/>
              </w:rPr>
              <w:t>6514.39</w:t>
            </w:r>
          </w:p>
        </w:tc>
        <w:tc>
          <w:tcPr>
            <w:tcW w:w="2552" w:type="dxa"/>
            <w:vAlign w:val="center"/>
          </w:tcPr>
          <w:p>
            <w:pPr>
              <w:spacing w:line="360" w:lineRule="exact"/>
              <w:jc w:val="center"/>
              <w:rPr>
                <w:lang w:val="en-US"/>
              </w:rPr>
            </w:pPr>
            <w:r>
              <w:rPr>
                <w:lang w:val="en-US"/>
              </w:rPr>
              <w:t>0.00</w:t>
            </w:r>
          </w:p>
        </w:tc>
        <w:tc>
          <w:tcPr>
            <w:tcW w:w="1134" w:type="dxa"/>
            <w:vAlign w:val="center"/>
          </w:tcPr>
          <w:p>
            <w:pPr>
              <w:spacing w:line="360" w:lineRule="exact"/>
              <w:jc w:val="center"/>
              <w:rPr>
                <w:lang w:val="en-US"/>
              </w:rPr>
            </w:pPr>
            <w:r>
              <w:rPr>
                <w:lang w:val="en-US"/>
              </w:rPr>
              <w:t>0.00</w:t>
            </w:r>
          </w:p>
        </w:tc>
        <w:tc>
          <w:tcPr>
            <w:tcW w:w="835" w:type="dxa"/>
            <w:vAlign w:val="center"/>
          </w:tcPr>
          <w:p>
            <w:pPr>
              <w:spacing w:line="360" w:lineRule="exact"/>
              <w:jc w:val="center"/>
              <w:rPr>
                <w:lang w:val="en-US"/>
              </w:rPr>
            </w:pPr>
            <w:r>
              <w:rPr>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3#</w:t>
            </w:r>
          </w:p>
        </w:tc>
        <w:tc>
          <w:tcPr>
            <w:tcW w:w="1417" w:type="dxa"/>
            <w:vAlign w:val="center"/>
          </w:tcPr>
          <w:p>
            <w:pPr>
              <w:spacing w:line="360" w:lineRule="exact"/>
              <w:jc w:val="center"/>
              <w:rPr>
                <w:lang w:val="en-US"/>
              </w:rPr>
            </w:pPr>
            <w:r>
              <w:rPr>
                <w:lang w:val="en-US"/>
              </w:rPr>
              <w:t>6555.91</w:t>
            </w:r>
          </w:p>
        </w:tc>
        <w:tc>
          <w:tcPr>
            <w:tcW w:w="2552" w:type="dxa"/>
            <w:vAlign w:val="center"/>
          </w:tcPr>
          <w:p>
            <w:pPr>
              <w:spacing w:line="360" w:lineRule="exact"/>
              <w:jc w:val="center"/>
              <w:rPr>
                <w:lang w:val="en-US"/>
              </w:rPr>
            </w:pPr>
            <w:r>
              <w:rPr>
                <w:lang w:val="en-US"/>
              </w:rPr>
              <w:t>18.31</w:t>
            </w:r>
          </w:p>
        </w:tc>
        <w:tc>
          <w:tcPr>
            <w:tcW w:w="1134" w:type="dxa"/>
            <w:vAlign w:val="center"/>
          </w:tcPr>
          <w:p>
            <w:pPr>
              <w:spacing w:line="360" w:lineRule="exact"/>
              <w:jc w:val="center"/>
              <w:rPr>
                <w:lang w:val="en-US"/>
              </w:rPr>
            </w:pPr>
            <w:r>
              <w:rPr>
                <w:lang w:val="en-US"/>
              </w:rPr>
              <w:t>0.28</w:t>
            </w:r>
          </w:p>
        </w:tc>
        <w:tc>
          <w:tcPr>
            <w:tcW w:w="835" w:type="dxa"/>
            <w:vAlign w:val="center"/>
          </w:tcPr>
          <w:p>
            <w:pPr>
              <w:spacing w:line="360" w:lineRule="exact"/>
              <w:jc w:val="center"/>
              <w:rPr>
                <w:lang w:val="en-US"/>
              </w:rPr>
            </w:pPr>
            <w:r>
              <w:rPr>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4#</w:t>
            </w:r>
          </w:p>
        </w:tc>
        <w:tc>
          <w:tcPr>
            <w:tcW w:w="1417" w:type="dxa"/>
            <w:vAlign w:val="center"/>
          </w:tcPr>
          <w:p>
            <w:pPr>
              <w:spacing w:line="360" w:lineRule="exact"/>
              <w:jc w:val="center"/>
              <w:rPr>
                <w:lang w:val="en-US"/>
              </w:rPr>
            </w:pPr>
            <w:r>
              <w:rPr>
                <w:lang w:val="en-US"/>
              </w:rPr>
              <w:t>6505.58</w:t>
            </w:r>
          </w:p>
        </w:tc>
        <w:tc>
          <w:tcPr>
            <w:tcW w:w="2552" w:type="dxa"/>
            <w:vAlign w:val="center"/>
          </w:tcPr>
          <w:p>
            <w:pPr>
              <w:spacing w:line="360" w:lineRule="exact"/>
              <w:jc w:val="center"/>
              <w:rPr>
                <w:lang w:val="en-US"/>
              </w:rPr>
            </w:pPr>
            <w:r>
              <w:rPr>
                <w:lang w:val="en-US"/>
              </w:rPr>
              <w:t>0.00</w:t>
            </w:r>
          </w:p>
        </w:tc>
        <w:tc>
          <w:tcPr>
            <w:tcW w:w="1134" w:type="dxa"/>
            <w:vAlign w:val="center"/>
          </w:tcPr>
          <w:p>
            <w:pPr>
              <w:spacing w:line="360" w:lineRule="exact"/>
              <w:jc w:val="center"/>
              <w:rPr>
                <w:lang w:val="en-US"/>
              </w:rPr>
            </w:pPr>
            <w:r>
              <w:rPr>
                <w:lang w:val="en-US"/>
              </w:rPr>
              <w:t>0.00</w:t>
            </w:r>
          </w:p>
        </w:tc>
        <w:tc>
          <w:tcPr>
            <w:tcW w:w="835" w:type="dxa"/>
            <w:vAlign w:val="center"/>
          </w:tcPr>
          <w:p>
            <w:pPr>
              <w:spacing w:line="360" w:lineRule="exact"/>
              <w:jc w:val="center"/>
              <w:rPr>
                <w:lang w:val="en-US"/>
              </w:rPr>
            </w:pPr>
            <w:r>
              <w:rPr>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6#</w:t>
            </w:r>
          </w:p>
        </w:tc>
        <w:tc>
          <w:tcPr>
            <w:tcW w:w="1417" w:type="dxa"/>
            <w:vAlign w:val="center"/>
          </w:tcPr>
          <w:p>
            <w:pPr>
              <w:spacing w:line="360" w:lineRule="exact"/>
              <w:jc w:val="center"/>
              <w:rPr>
                <w:lang w:val="en-US"/>
              </w:rPr>
            </w:pPr>
            <w:r>
              <w:rPr>
                <w:lang w:val="en-US"/>
              </w:rPr>
              <w:t>6488.04</w:t>
            </w:r>
          </w:p>
        </w:tc>
        <w:tc>
          <w:tcPr>
            <w:tcW w:w="2552" w:type="dxa"/>
            <w:vAlign w:val="center"/>
          </w:tcPr>
          <w:p>
            <w:pPr>
              <w:spacing w:line="360" w:lineRule="exact"/>
              <w:jc w:val="center"/>
              <w:rPr>
                <w:lang w:val="en-US"/>
              </w:rPr>
            </w:pPr>
            <w:r>
              <w:rPr>
                <w:lang w:val="en-US"/>
              </w:rPr>
              <w:t>60.11</w:t>
            </w:r>
          </w:p>
        </w:tc>
        <w:tc>
          <w:tcPr>
            <w:tcW w:w="1134" w:type="dxa"/>
            <w:vAlign w:val="center"/>
          </w:tcPr>
          <w:p>
            <w:pPr>
              <w:spacing w:line="360" w:lineRule="exact"/>
              <w:jc w:val="center"/>
              <w:rPr>
                <w:lang w:val="en-US"/>
              </w:rPr>
            </w:pPr>
            <w:r>
              <w:rPr>
                <w:lang w:val="en-US"/>
              </w:rPr>
              <w:t>0.93</w:t>
            </w:r>
          </w:p>
        </w:tc>
        <w:tc>
          <w:tcPr>
            <w:tcW w:w="835" w:type="dxa"/>
            <w:vAlign w:val="center"/>
          </w:tcPr>
          <w:p>
            <w:pPr>
              <w:spacing w:line="360" w:lineRule="exact"/>
              <w:jc w:val="center"/>
              <w:rPr>
                <w:lang w:val="en-US"/>
              </w:rPr>
            </w:pPr>
            <w:r>
              <w:rPr>
                <w:lang w:val="en-US"/>
              </w:rPr>
              <w:t>否</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bookmarkStart w:id="148" w:name="建筑室内外风压差达标判定"/>
      <w:r>
        <w:rPr>
          <w:rFonts w:hint="eastAsia"/>
        </w:rPr>
        <w:t xml:space="preserve"> </w:t>
      </w:r>
      <w:bookmarkEnd w:id="148"/>
    </w:p>
    <w:p>
      <w:pPr>
        <w:rPr>
          <w:lang w:val="en-US"/>
        </w:rPr>
      </w:pPr>
      <w:bookmarkStart w:id="149" w:name="建筑室内外风压差达标判定结论"/>
      <w:r>
        <w:rPr>
          <w:rFonts w:hint="eastAsia"/>
          <w:lang w:val="en-US"/>
        </w:rPr>
        <w:t>结论：本项目中所有建筑均未满足“50%以上可开启外窗室内外表面的风压差大于0.5Pa”的要求，该条不得分。</w:t>
      </w:r>
      <w:bookmarkEnd w:id="149"/>
      <w:r>
        <w:rPr>
          <w:rFonts w:hint="eastAsia"/>
          <w:lang w:val="en-US"/>
        </w:rPr>
        <w:t xml:space="preserve"> </w:t>
      </w:r>
    </w:p>
    <w:p>
      <w:pPr>
        <w:rPr>
          <w:lang w:val="en-US"/>
        </w:rPr>
      </w:pPr>
      <w:bookmarkStart w:id="150" w:name="其他工况"/>
      <w:bookmarkEnd w:id="150"/>
      <w:r>
        <w:rPr>
          <w:rFonts w:hint="eastAsia"/>
          <w:lang w:val="en-US"/>
        </w:rPr>
        <w:t xml:space="preserve"> </w:t>
      </w:r>
    </w:p>
    <w:p>
      <w:pPr>
        <w:pStyle w:val="4"/>
      </w:pPr>
      <w:bookmarkStart w:id="151" w:name="_Toc509844764"/>
      <w:bookmarkStart w:id="152" w:name="_Toc92133157"/>
      <w:r>
        <w:rPr>
          <w:rFonts w:hint="eastAsia"/>
        </w:rPr>
        <w:t>结论</w:t>
      </w:r>
      <w:bookmarkEnd w:id="151"/>
      <w:bookmarkEnd w:id="152"/>
    </w:p>
    <w:p>
      <w:pPr>
        <w:pStyle w:val="5"/>
      </w:pPr>
      <w:bookmarkStart w:id="153" w:name="_Toc509844765"/>
      <w:bookmarkStart w:id="154" w:name="_Toc92133158"/>
      <w:r>
        <w:rPr>
          <w:rFonts w:hint="eastAsia"/>
        </w:rPr>
        <w:t>冬季工况达标判断</w:t>
      </w:r>
      <w:bookmarkEnd w:id="153"/>
      <w:bookmarkEnd w:id="154"/>
      <w:bookmarkStart w:id="155" w:name="_Toc509844766"/>
      <w:bookmarkEnd w:id="15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56" w:name="冬季风速结果"/>
            <w:r>
              <w:t>没有出现</w:t>
            </w:r>
            <w:bookmarkEnd w:id="156"/>
            <w:r>
              <w:rPr>
                <w:rFonts w:hint="eastAsia"/>
                <w:lang w:val="en-US"/>
              </w:rPr>
              <w:t>风速大于</w:t>
            </w:r>
            <w:r>
              <w:rPr>
                <w:lang w:val="en-US"/>
              </w:rPr>
              <w:t>5m/s</w:t>
            </w:r>
            <w:r>
              <w:rPr>
                <w:rFonts w:hint="eastAsia"/>
                <w:lang w:val="en-US"/>
              </w:rPr>
              <w:t>的区域，户外休息区、儿童娱乐区</w:t>
            </w:r>
            <w:bookmarkStart w:id="157" w:name="冬季风速结果2"/>
            <w:r>
              <w:t>没有出现</w:t>
            </w:r>
            <w:bookmarkEnd w:id="157"/>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bookmarkStart w:id="158" w:name="冬季风速达标判定"/>
            <w:r>
              <w:rPr>
                <w:rFonts w:hint="eastAsia"/>
                <w:b/>
                <w:lang w:val="en-US"/>
              </w:rPr>
              <w:t>达标</w:t>
            </w:r>
            <w:bookmarkEnd w:id="158"/>
          </w:p>
        </w:tc>
        <w:tc>
          <w:tcPr>
            <w:tcW w:w="1416" w:type="dxa"/>
            <w:vMerge w:val="restart"/>
            <w:tcBorders>
              <w:top w:val="single" w:color="auto" w:sz="4" w:space="0"/>
            </w:tcBorders>
            <w:shd w:val="clear" w:color="auto" w:fill="auto"/>
            <w:vAlign w:val="center"/>
          </w:tcPr>
          <w:p>
            <w:pPr>
              <w:jc w:val="center"/>
              <w:rPr>
                <w:lang w:val="en-US"/>
              </w:rPr>
            </w:pPr>
            <w:bookmarkStart w:id="159" w:name="冬季风速得分"/>
            <w:r>
              <w:rPr>
                <w:rFonts w:hint="eastAsia"/>
                <w:lang w:val="en-US"/>
              </w:rPr>
              <w:t>3</w:t>
            </w:r>
            <w:bookmarkEnd w:id="15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60" w:name="冬季风速放大系数结果"/>
            <w:r>
              <w:t>没有出现</w:t>
            </w:r>
            <w:bookmarkEnd w:id="160"/>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61" w:name="冬季迎背风面结果"/>
            <w:r>
              <w:t>没有出现</w:t>
            </w:r>
            <w:bookmarkEnd w:id="161"/>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62" w:name="冬季迎背风面达标判定"/>
            <w:r>
              <w:rPr>
                <w:rFonts w:hint="eastAsia"/>
                <w:b/>
                <w:lang w:val="en-US"/>
              </w:rPr>
              <w:t>达标</w:t>
            </w:r>
            <w:bookmarkEnd w:id="162"/>
          </w:p>
        </w:tc>
        <w:tc>
          <w:tcPr>
            <w:tcW w:w="1416" w:type="dxa"/>
            <w:shd w:val="clear" w:color="auto" w:fill="auto"/>
            <w:vAlign w:val="center"/>
          </w:tcPr>
          <w:p>
            <w:pPr>
              <w:jc w:val="center"/>
              <w:rPr>
                <w:lang w:val="en-US"/>
              </w:rPr>
            </w:pPr>
            <w:bookmarkStart w:id="163" w:name="冬季迎背风面得分"/>
            <w:r>
              <w:rPr>
                <w:rFonts w:hint="eastAsia"/>
                <w:lang w:val="en-US"/>
              </w:rPr>
              <w:t>2</w:t>
            </w:r>
            <w:bookmarkEnd w:id="163"/>
            <w:r>
              <w:rPr>
                <w:rFonts w:hint="eastAsia"/>
                <w:lang w:val="en-US"/>
              </w:rPr>
              <w:t>分</w:t>
            </w:r>
          </w:p>
        </w:tc>
      </w:tr>
    </w:tbl>
    <w:p>
      <w:pPr>
        <w:rPr>
          <w:szCs w:val="21"/>
          <w:lang w:val="en-US"/>
        </w:rPr>
      </w:pPr>
    </w:p>
    <w:p>
      <w:pPr>
        <w:pStyle w:val="5"/>
      </w:pPr>
      <w:bookmarkStart w:id="164" w:name="_Toc509844768"/>
      <w:bookmarkEnd w:id="164"/>
      <w:bookmarkStart w:id="165" w:name="_Toc509844767"/>
      <w:bookmarkEnd w:id="165"/>
      <w:bookmarkStart w:id="166" w:name="_Toc92133159"/>
      <w:bookmarkStart w:id="167" w:name="_Toc509844769"/>
      <w:r>
        <w:rPr>
          <w:rFonts w:hint="eastAsia"/>
        </w:rPr>
        <w:t>过渡季、夏季工况达标判断</w:t>
      </w:r>
      <w:bookmarkEnd w:id="166"/>
      <w:bookmarkEnd w:id="16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68" w:name="夏季无风区结果"/>
            <w:r>
              <w:rPr>
                <w:rFonts w:hint="eastAsia"/>
                <w:lang w:val="en-US"/>
              </w:rPr>
              <w:t>无</w:t>
            </w:r>
            <w:bookmarkEnd w:id="168"/>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69" w:name="夏季无风区达标判定"/>
            <w:r>
              <w:rPr>
                <w:rFonts w:hint="eastAsia"/>
                <w:b/>
                <w:lang w:val="en-US"/>
              </w:rPr>
              <w:t>达标</w:t>
            </w:r>
            <w:bookmarkEnd w:id="169"/>
          </w:p>
        </w:tc>
        <w:tc>
          <w:tcPr>
            <w:tcW w:w="1416" w:type="dxa"/>
            <w:vMerge w:val="restart"/>
            <w:tcBorders>
              <w:top w:val="single" w:color="auto" w:sz="4" w:space="0"/>
            </w:tcBorders>
            <w:shd w:val="clear" w:color="auto" w:fill="auto"/>
            <w:vAlign w:val="center"/>
          </w:tcPr>
          <w:p>
            <w:pPr>
              <w:jc w:val="center"/>
              <w:rPr>
                <w:lang w:val="en-US"/>
              </w:rPr>
            </w:pPr>
            <w:bookmarkStart w:id="170" w:name="夏季无风区得分"/>
            <w:r>
              <w:rPr>
                <w:rFonts w:hint="eastAsia"/>
                <w:lang w:val="en-US"/>
              </w:rPr>
              <w:t>3</w:t>
            </w:r>
            <w:bookmarkEnd w:id="17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71" w:name="夏季窗内外风压差结果"/>
            <w:r>
              <w:rPr>
                <w:rFonts w:hint="eastAsia"/>
                <w:lang w:val="en-US"/>
              </w:rPr>
              <w:t>不满足</w:t>
            </w:r>
            <w:bookmarkEnd w:id="171"/>
            <w:r>
              <w:rPr>
                <w:rFonts w:hint="eastAsia"/>
                <w:lang w:val="en-US"/>
              </w:rPr>
              <w:t>标准要求</w:t>
            </w:r>
          </w:p>
        </w:tc>
        <w:tc>
          <w:tcPr>
            <w:tcW w:w="1985" w:type="dxa"/>
            <w:shd w:val="clear" w:color="auto" w:fill="auto"/>
            <w:vAlign w:val="center"/>
          </w:tcPr>
          <w:p>
            <w:pPr>
              <w:jc w:val="center"/>
              <w:rPr>
                <w:b/>
                <w:lang w:val="en-US"/>
              </w:rPr>
            </w:pPr>
            <w:bookmarkStart w:id="172" w:name="夏季窗内外风压差达标判定"/>
            <w:r>
              <w:rPr>
                <w:rFonts w:hint="eastAsia"/>
                <w:b/>
                <w:color w:val="FF0000"/>
                <w:lang w:val="en-US"/>
              </w:rPr>
              <w:t>不达标</w:t>
            </w:r>
            <w:bookmarkEnd w:id="172"/>
          </w:p>
        </w:tc>
        <w:tc>
          <w:tcPr>
            <w:tcW w:w="1416" w:type="dxa"/>
            <w:shd w:val="clear" w:color="auto" w:fill="auto"/>
            <w:vAlign w:val="center"/>
          </w:tcPr>
          <w:p>
            <w:pPr>
              <w:jc w:val="center"/>
              <w:rPr>
                <w:lang w:val="en-US"/>
              </w:rPr>
            </w:pPr>
            <w:bookmarkStart w:id="173" w:name="夏季窗内外风压差得分"/>
            <w:r>
              <w:rPr>
                <w:rFonts w:hint="eastAsia"/>
                <w:lang w:val="en-US"/>
              </w:rPr>
              <w:t>0</w:t>
            </w:r>
            <w:bookmarkEnd w:id="173"/>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74" w:name="总得分"/>
      <w:r>
        <w:rPr>
          <w:rFonts w:hint="eastAsia"/>
          <w:lang w:val="en-US"/>
        </w:rPr>
        <w:t>8</w:t>
      </w:r>
      <w:bookmarkEnd w:id="17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25</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25</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62"/>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D4762"/>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9568A"/>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4DEC"/>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59026F70"/>
    <w:rsid w:val="7DF23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6" Type="http://schemas.openxmlformats.org/officeDocument/2006/relationships/fontTable" Target="fontTable.xml"/><Relationship Id="rId85" Type="http://schemas.openxmlformats.org/officeDocument/2006/relationships/customXml" Target="../customXml/item2.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E95D1-1D26-465C-B0CF-09E6180D9FDE}">
  <ds:schemaRefs/>
</ds:datastoreItem>
</file>

<file path=docProps/app.xml><?xml version="1.0" encoding="utf-8"?>
<Properties xmlns="http://schemas.openxmlformats.org/officeDocument/2006/extended-properties" xmlns:vt="http://schemas.openxmlformats.org/officeDocument/2006/docPropsVTypes">
  <Template>tmp34</Template>
  <Company>ths</Company>
  <Pages>25</Pages>
  <Words>1873</Words>
  <Characters>10681</Characters>
  <Lines>89</Lines>
  <Paragraphs>25</Paragraphs>
  <TotalTime>0</TotalTime>
  <ScaleCrop>false</ScaleCrop>
  <LinksUpToDate>false</LinksUpToDate>
  <CharactersWithSpaces>12529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2022-01-03T12:11:00Z</dcterms:created>
  <dc:creator>1</dc:creator>
  <cp:lastModifiedBy>哦(´-ω-`)</cp:lastModifiedBy>
  <cp:lastPrinted>1900-12-31T16:00:00Z</cp:lastPrinted>
  <dcterms:modified xsi:type="dcterms:W3CDTF">2022-03-06T01:54:27Z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479B9D5AE525497A821DB5802EF91C99</vt:lpwstr>
  </property>
</Properties>
</file>