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4.2.8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提高建筑结构材料的耐久性。（10分）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90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92"/>
        <w:gridCol w:w="4396"/>
        <w:gridCol w:w="1132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3221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67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678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221" w:type="pct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按100年进行耐久性设计</w:t>
            </w:r>
          </w:p>
        </w:tc>
        <w:tc>
          <w:tcPr>
            <w:tcW w:w="67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315151401"/>
            <w:placeholder>
              <w:docPart w:val="DD9E5F2402EE43EF8A233D21D3370CD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678" w:type="pct"/>
                <w:vMerge w:val="restar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4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593" w:type="pct"/>
            <w:vMerge w:val="restart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采用耐久性能好的建筑结构材料</w:t>
            </w:r>
          </w:p>
        </w:tc>
        <w:tc>
          <w:tcPr>
            <w:tcW w:w="2628" w:type="pct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混凝土构件，提高钢筋保护层厚度或采用高耐久性混凝土</w:t>
            </w:r>
          </w:p>
        </w:tc>
        <w:tc>
          <w:tcPr>
            <w:tcW w:w="677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678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93" w:type="pct"/>
            <w:vMerge w:val="continue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628" w:type="pct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钢构件，采用耐候结构钢及耐候性防腐涂料</w:t>
            </w:r>
          </w:p>
        </w:tc>
        <w:tc>
          <w:tcPr>
            <w:tcW w:w="677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78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93" w:type="pct"/>
            <w:vMerge w:val="continue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628" w:type="pct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木构件，采用防腐木材、耐久木材或耐久木制品</w:t>
            </w:r>
          </w:p>
        </w:tc>
        <w:tc>
          <w:tcPr>
            <w:tcW w:w="677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78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7"/>
        <w:gridCol w:w="4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2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类型</w:t>
            </w:r>
          </w:p>
        </w:tc>
        <w:tc>
          <w:tcPr>
            <w:tcW w:w="2578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2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建筑结构设计年限</w:t>
            </w:r>
          </w:p>
        </w:tc>
        <w:tc>
          <w:tcPr>
            <w:tcW w:w="2578" w:type="pct"/>
          </w:tcPr>
          <w:p>
            <w:pP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100年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2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建筑结构材料</w:t>
            </w:r>
          </w:p>
        </w:tc>
        <w:tc>
          <w:tcPr>
            <w:tcW w:w="2578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1721631967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混凝土 </w:t>
            </w:r>
            <w:sdt>
              <w:sdtPr>
                <w:rPr>
                  <w:rFonts w:hint="eastAsia"/>
                  <w:sz w:val="28"/>
                </w:rPr>
                <w:id w:val="1121661182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ascii="Times New Roman" w:hAnsi="Times New Roman" w:eastAsia="宋体" w:cs="Times New Roman"/>
                <w:szCs w:val="21"/>
              </w:rPr>
              <w:t>钢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-612906943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ascii="Times New Roman" w:hAnsi="Times New Roman" w:eastAsia="宋体" w:cs="Times New Roman"/>
                <w:szCs w:val="21"/>
              </w:rPr>
              <w:t>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2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钢筋保护层</w:t>
            </w:r>
            <w:r>
              <w:rPr>
                <w:rFonts w:ascii="Times New Roman" w:hAnsi="Times New Roman" w:eastAsia="宋体" w:cs="Times New Roman"/>
                <w:szCs w:val="21"/>
              </w:rPr>
              <w:t>厚度</w:t>
            </w:r>
          </w:p>
        </w:tc>
        <w:tc>
          <w:tcPr>
            <w:tcW w:w="2578" w:type="pct"/>
          </w:tcPr>
          <w:p>
            <w:pP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4mm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2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是否</w:t>
            </w:r>
            <w:r>
              <w:rPr>
                <w:rFonts w:ascii="Times New Roman" w:hAnsi="Times New Roman" w:eastAsia="宋体" w:cs="Times New Roman"/>
                <w:szCs w:val="21"/>
              </w:rPr>
              <w:t>采用高耐久性混凝土</w:t>
            </w:r>
          </w:p>
        </w:tc>
        <w:tc>
          <w:tcPr>
            <w:tcW w:w="2578" w:type="pct"/>
          </w:tcPr>
          <w:p>
            <w:pP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2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是否</w:t>
            </w:r>
            <w:r>
              <w:rPr>
                <w:rFonts w:ascii="Times New Roman" w:hAnsi="Times New Roman" w:eastAsia="宋体" w:cs="Times New Roman"/>
                <w:szCs w:val="21"/>
              </w:rPr>
              <w:t>采用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耐候结构钢和耐候性防腐涂料</w:t>
            </w:r>
          </w:p>
        </w:tc>
        <w:tc>
          <w:tcPr>
            <w:tcW w:w="2578" w:type="pct"/>
          </w:tcPr>
          <w:p>
            <w:pP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2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是否</w:t>
            </w:r>
            <w:r>
              <w:rPr>
                <w:rFonts w:ascii="Times New Roman" w:hAnsi="Times New Roman" w:eastAsia="宋体" w:cs="Times New Roman"/>
                <w:szCs w:val="21"/>
              </w:rPr>
              <w:t>采用耐久木制品</w:t>
            </w:r>
          </w:p>
        </w:tc>
        <w:tc>
          <w:tcPr>
            <w:tcW w:w="2578" w:type="pct"/>
          </w:tcPr>
          <w:p>
            <w:pP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否</w:t>
            </w:r>
            <w:bookmarkStart w:id="0" w:name="_GoBack"/>
            <w:bookmarkEnd w:id="0"/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请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提高建筑结构材料耐久性的设计内容和落实情况：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结合本项目实际，通过对比本工程宜采用静压预应力管桩基础形式，以强风化及以下岩层作为持力层，以达到经济合理节材效果；教室、体育馆均需大开间布置，框架结构较剪力墙结构更适合用于楼层低、大开间建筑，功能布置灵活，且对于楼层较低的建筑，框架结构较剪力墙结构建设成本更低；根据不同板跨设置不同板厚，充分利用板底钢筋承载能力，钢筋均采用HRB400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1）建筑</w:t>
      </w:r>
      <w:r>
        <w:rPr>
          <w:rFonts w:ascii="Times New Roman" w:hAnsi="Times New Roman" w:eastAsia="宋体" w:cs="Times New Roman"/>
          <w:szCs w:val="21"/>
        </w:rPr>
        <w:t>、结构设计</w:t>
      </w:r>
      <w:r>
        <w:rPr>
          <w:rFonts w:hint="eastAsia" w:ascii="Times New Roman" w:hAnsi="Times New Roman" w:eastAsia="宋体" w:cs="Times New Roman"/>
          <w:szCs w:val="21"/>
        </w:rPr>
        <w:t>竣工图：</w:t>
      </w:r>
      <w:r>
        <w:rPr>
          <w:rFonts w:ascii="Times New Roman" w:hAnsi="Times New Roman" w:eastAsia="宋体" w:cs="Times New Roman"/>
          <w:szCs w:val="21"/>
        </w:rPr>
        <w:t>应</w:t>
      </w:r>
      <w:r>
        <w:rPr>
          <w:rFonts w:hint="eastAsia" w:ascii="Times New Roman" w:hAnsi="Times New Roman" w:eastAsia="宋体" w:cs="Times New Roman"/>
          <w:szCs w:val="21"/>
        </w:rPr>
        <w:t>注明</w:t>
      </w:r>
      <w:r>
        <w:rPr>
          <w:rFonts w:ascii="Times New Roman" w:hAnsi="Times New Roman" w:eastAsia="宋体" w:cs="Times New Roman"/>
          <w:szCs w:val="21"/>
        </w:rPr>
        <w:t>本项目采用的高性能材料的类别及</w:t>
      </w:r>
      <w:r>
        <w:rPr>
          <w:rFonts w:hint="eastAsia" w:ascii="Times New Roman" w:hAnsi="Times New Roman" w:eastAsia="宋体" w:cs="Times New Roman"/>
          <w:szCs w:val="21"/>
        </w:rPr>
        <w:t>范围或</w:t>
      </w:r>
      <w:r>
        <w:rPr>
          <w:rFonts w:ascii="Times New Roman" w:hAnsi="Times New Roman" w:eastAsia="宋体" w:cs="Times New Roman"/>
          <w:szCs w:val="21"/>
        </w:rPr>
        <w:t>耐候结构钢、耐候型</w:t>
      </w:r>
      <w:r>
        <w:rPr>
          <w:rFonts w:hint="eastAsia" w:ascii="Times New Roman" w:hAnsi="Times New Roman" w:eastAsia="宋体" w:cs="Times New Roman"/>
          <w:szCs w:val="21"/>
        </w:rPr>
        <w:t>防腐</w:t>
      </w:r>
      <w:r>
        <w:rPr>
          <w:rFonts w:ascii="Times New Roman" w:hAnsi="Times New Roman" w:eastAsia="宋体" w:cs="Times New Roman"/>
          <w:szCs w:val="21"/>
        </w:rPr>
        <w:t>涂料的采用情况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2）耐久性好的建筑结构材料使用情况统计，应提供相关产品说明、检测报告以及建筑结构材料的决算清单；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3）项目运行使用中的维护管理记录。</w:t>
      </w:r>
    </w:p>
    <w:p>
      <w:pPr>
        <w:widowControl/>
        <w:spacing w:line="280" w:lineRule="exact"/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2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5EE"/>
    <w:rsid w:val="00074A38"/>
    <w:rsid w:val="00355D41"/>
    <w:rsid w:val="00706AA5"/>
    <w:rsid w:val="00AD2F8A"/>
    <w:rsid w:val="00C850C3"/>
    <w:rsid w:val="00C93417"/>
    <w:rsid w:val="00E255EE"/>
    <w:rsid w:val="00EA2D70"/>
    <w:rsid w:val="63A8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DD9E5F2402EE43EF8A233D21D3370CD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B17E525-182A-4F1E-B47E-0DC4FAC03A1E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07"/>
    <w:rsid w:val="000E7C16"/>
    <w:rsid w:val="009A79BE"/>
    <w:rsid w:val="00BA7107"/>
    <w:rsid w:val="00CA61A0"/>
    <w:rsid w:val="00D7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DD9E5F2402EE43EF8A233D21D3370CD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A178D3B4F9604F699D1D152C2BCE8B1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B9B486DAA8974C8ABFDF4BBF7466564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0AFE14434FC64BFBBB7F39B29602468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5BC6DA71205F41EC8EA92776AD31AA0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22A0CBA7CE97416F8C7C9751B8B2F51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78932E6F0C27417FAE2CDACAE6AFC56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4D78BFFAFA04492DA6E452164519EEE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541</Characters>
  <Lines>4</Lines>
  <Paragraphs>1</Paragraphs>
  <TotalTime>8</TotalTime>
  <ScaleCrop>false</ScaleCrop>
  <LinksUpToDate>false</LinksUpToDate>
  <CharactersWithSpaces>634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2019-07-12T07:46:00Z</dcterms:created>
  <dc:creator>dongYP</dc:creator>
  <cp:lastModifiedBy>大炮哥切腹自尽</cp:lastModifiedBy>
  <dcterms:modified xsi:type="dcterms:W3CDTF">2022-03-15T11:23:45Z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E50E7DF41F7244CA8F49FBADB4520EA6</vt:lpwstr>
  </property>
</Properties>
</file>