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自然通风、复合通风：主要功能房间室内热环境参数在适应性热舒适区域的时间比例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占70%。</w:t>
            </w:r>
            <w:r>
              <w:rPr>
                <w:rFonts w:ascii="Times New Roman" w:hAnsi="Times New Roman" w:cs="Times New Roman"/>
                <w:szCs w:val="21"/>
              </w:rPr>
              <w:t>人工冷热源：主要功能房间达到现行国家标准《民用建筑室内热湿环境评价标准》规定的室内人工冷热源热湿环境整体评价II级面积比例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为70%。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  <w:rsid w:val="622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大炮哥切腹自尽</cp:lastModifiedBy>
  <dcterms:modified xsi:type="dcterms:W3CDTF">2022-03-15T12:25:04Z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FE2A411DC544405C8D9C7245D6E2D6E8</vt:lpwstr>
  </property>
</Properties>
</file>