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w:t>
      </w:r>
      <w:r>
        <w:rPr>
          <w:rFonts w:hint="eastAsia" w:ascii="宋体" w:hAnsi="宋体"/>
          <w:bCs/>
          <w:sz w:val="44"/>
          <w:szCs w:val="44"/>
          <w:lang w:val="en-US" w:eastAsia="zh-CN"/>
        </w:rPr>
        <w:t>共</w:t>
      </w:r>
      <w:r>
        <w:rPr>
          <w:rFonts w:hint="eastAsia" w:ascii="宋体" w:hAnsi="宋体"/>
          <w:bCs/>
          <w:sz w:val="44"/>
          <w:szCs w:val="44"/>
          <w:lang w:val="en-US"/>
        </w:rPr>
        <w:t>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ascii="宋体" w:hAnsi="宋体"/>
                <w:szCs w:val="21"/>
                <w:lang w:val="en-US" w:eastAsia="zh-CN"/>
              </w:rPr>
              <w:t>三重“意”——绿色社区服务中心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r>
              <w:rPr>
                <w:rFonts w:hint="eastAsia" w:ascii="宋体" w:hAnsi="宋体"/>
                <w:szCs w:val="21"/>
              </w:rPr>
              <w:t>BK40453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r>
              <w:rPr>
                <w:rFonts w:hint="eastAsia"/>
                <w:lang w:val="en-US" w:eastAsia="zh-CN"/>
              </w:rPr>
              <w:t>山西大学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2021年12月2日</w:t>
            </w:r>
            <w:bookmarkEnd w:id="5"/>
          </w:p>
        </w:tc>
      </w:tr>
    </w:tbl>
    <w:p>
      <w:pPr>
        <w:rPr>
          <w:rFonts w:ascii="宋体" w:hAnsi="宋体"/>
          <w:lang w:val="en-US"/>
        </w:rPr>
      </w:pPr>
    </w:p>
    <w:p>
      <w:pPr>
        <w:rPr>
          <w:rFonts w:hint="eastAsia"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T19834536474</w:t>
            </w:r>
            <w:bookmarkEnd w:id="9"/>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4"/>
        </w:rPr>
        <w:t>1</w:t>
      </w:r>
      <w:r>
        <w:rPr>
          <w:b w:val="0"/>
          <w:bCs w:val="0"/>
        </w:rPr>
        <w:tab/>
      </w:r>
      <w:r>
        <w:rPr>
          <w:rStyle w:val="24"/>
          <w:rFonts w:hint="eastAsia"/>
        </w:rPr>
        <w:t>建筑概况</w:t>
      </w:r>
      <w:r>
        <w:tab/>
      </w:r>
      <w:r>
        <w:fldChar w:fldCharType="begin"/>
      </w:r>
      <w:r>
        <w:instrText xml:space="preserve"> PAGEREF _Toc441480674 \h </w:instrText>
      </w:r>
      <w:r>
        <w:fldChar w:fldCharType="separate"/>
      </w:r>
      <w:r>
        <w:t>3</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4"/>
        </w:rPr>
        <w:t>2</w:t>
      </w:r>
      <w:r>
        <w:rPr>
          <w:b w:val="0"/>
          <w:bCs w:val="0"/>
        </w:rPr>
        <w:tab/>
      </w:r>
      <w:r>
        <w:rPr>
          <w:rStyle w:val="24"/>
          <w:rFonts w:hint="eastAsia"/>
        </w:rPr>
        <w:t>标准依据</w:t>
      </w:r>
      <w:r>
        <w:tab/>
      </w:r>
      <w:r>
        <w:fldChar w:fldCharType="begin"/>
      </w:r>
      <w:r>
        <w:instrText xml:space="preserve"> PAGEREF _Toc441480675 \h </w:instrText>
      </w:r>
      <w:r>
        <w:fldChar w:fldCharType="separate"/>
      </w:r>
      <w:r>
        <w:t>3</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4"/>
        </w:rPr>
        <w:t>3</w:t>
      </w:r>
      <w:r>
        <w:rPr>
          <w:b w:val="0"/>
          <w:bCs w:val="0"/>
        </w:rPr>
        <w:tab/>
      </w:r>
      <w:r>
        <w:rPr>
          <w:rStyle w:val="24"/>
          <w:rFonts w:hint="eastAsia"/>
        </w:rPr>
        <w:t>计算方法</w:t>
      </w:r>
      <w:r>
        <w:tab/>
      </w:r>
      <w:r>
        <w:fldChar w:fldCharType="begin"/>
      </w:r>
      <w:r>
        <w:instrText xml:space="preserve"> PAGEREF _Toc441480676 \h </w:instrText>
      </w:r>
      <w:r>
        <w:fldChar w:fldCharType="separate"/>
      </w:r>
      <w:r>
        <w:t>3</w:t>
      </w:r>
      <w:r>
        <w:fldChar w:fldCharType="end"/>
      </w:r>
      <w:r>
        <w:fldChar w:fldCharType="end"/>
      </w:r>
    </w:p>
    <w:p>
      <w:pPr>
        <w:pStyle w:val="14"/>
        <w:ind w:firstLine="180"/>
      </w:pP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441480674"/>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r>
              <w:rPr>
                <w:rFonts w:hint="eastAsia" w:ascii="宋体" w:hAnsi="宋体"/>
                <w:szCs w:val="21"/>
                <w:lang w:val="en-US" w:eastAsia="zh-CN"/>
              </w:rPr>
              <w:t>三重“意”——绿色社区服务中心</w:t>
            </w:r>
            <w:bookmarkStart w:id="51" w:name="_GoBack"/>
            <w:bookmarkEnd w:id="5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3793</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2</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11.4</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113</w:t>
            </w:r>
            <w:bookmarkEnd w:id="18"/>
          </w:p>
        </w:tc>
      </w:tr>
    </w:tbl>
    <w:p>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pPr>
        <w:jc w:val="center"/>
        <w:rPr>
          <w:lang w:val="en-US"/>
        </w:rPr>
      </w:pPr>
      <w:bookmarkStart w:id="21" w:name="_Toc441480675"/>
      <w:r>
        <w:rPr>
          <w:rFonts w:hint="eastAsia"/>
          <w:lang w:val="en-US"/>
        </w:rPr>
        <w:t>图1</w:t>
      </w:r>
      <w:r>
        <w:rPr>
          <w:lang w:val="en-US"/>
        </w:rPr>
        <w:t>-1</w:t>
      </w:r>
      <w:r>
        <w:rPr>
          <w:rFonts w:hint="eastAsia"/>
          <w:lang w:val="en-US"/>
        </w:rPr>
        <w:t xml:space="preserve"> 目标</w:t>
      </w:r>
      <w:r>
        <w:rPr>
          <w:lang w:val="en-US"/>
        </w:rPr>
        <w:t>建筑模型</w:t>
      </w:r>
    </w:p>
    <w:p>
      <w:pPr>
        <w:pStyle w:val="2"/>
      </w:pPr>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
      </w:pPr>
      <w:r>
        <w:rPr>
          <w:rFonts w:hint="eastAsia"/>
        </w:rPr>
        <w:t>标准</w:t>
      </w:r>
      <w:r>
        <w:t>要求</w:t>
      </w:r>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
        </w:rPr>
      </w:pPr>
      <w:r>
        <w:rPr>
          <w:rFonts w:hint="eastAsia"/>
          <w:b/>
        </w:rPr>
        <w:t>控制项要求</w:t>
      </w:r>
      <w:r>
        <w:rPr>
          <w:b/>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
        </w:rPr>
      </w:pPr>
      <w:r>
        <w:rPr>
          <w:rFonts w:hint="eastAsia"/>
          <w:b/>
        </w:rPr>
        <w:t>评分项要求</w:t>
      </w:r>
      <w:r>
        <w:rPr>
          <w:b/>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r>
        <w:rPr>
          <w:rFonts w:hint="eastAsia"/>
          <w:kern w:val="2"/>
        </w:rPr>
        <w:t>计算原理</w:t>
      </w:r>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r>
        <w:rPr>
          <w:rFonts w:hint="eastAsia"/>
        </w:rPr>
        <w:t>最不利</w:t>
      </w:r>
      <w:r>
        <w:t>房间确定</w:t>
      </w:r>
    </w:p>
    <w:p>
      <w:pPr>
        <w:pStyle w:val="3"/>
        <w:numPr>
          <w:ilvl w:val="0"/>
          <w:numId w:val="4"/>
        </w:numPr>
      </w:pPr>
      <w:bookmarkStart w:id="23" w:name="_Hlk498956250"/>
      <w:bookmarkStart w:id="24" w:name="_Toc438716944"/>
      <w:bookmarkStart w:id="25" w:name="_Toc441480676"/>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3"/>
    </w:p>
    <w:p>
      <w:pPr>
        <w:pStyle w:val="3"/>
        <w:numPr>
          <w:ilvl w:val="0"/>
          <w:numId w:val="4"/>
        </w:numPr>
      </w:pPr>
      <w:r>
        <w:t>也可以根据项目实际情况和经验常识自选最不利房间进行评价，如靠近交通要道的卧室、办公室等。</w:t>
      </w:r>
    </w:p>
    <w:p>
      <w:pPr>
        <w:pStyle w:val="4"/>
      </w:pPr>
      <w:r>
        <w:rPr>
          <w:rFonts w:hint="eastAsia"/>
        </w:rPr>
        <w:t>室内</w:t>
      </w:r>
      <w:r>
        <w:t>噪声级</w:t>
      </w:r>
      <w:r>
        <w:rPr>
          <w:rFonts w:hint="eastAsia"/>
        </w:rPr>
        <w:t>计算</w:t>
      </w:r>
    </w:p>
    <w:p>
      <w:pPr>
        <w:pStyle w:val="3"/>
        <w:ind w:firstLine="420" w:firstLineChars="200"/>
        <w:rPr>
          <w:lang w:val="en-US"/>
        </w:rPr>
      </w:pPr>
      <w:r>
        <w:rPr>
          <w:rFonts w:hint="eastAsia"/>
          <w:lang w:val="en-US"/>
        </w:rPr>
        <w:t>室内噪声主要受</w:t>
      </w:r>
      <w:r>
        <w:rPr>
          <w:lang w:val="en-US"/>
        </w:rPr>
        <w:t>建筑周围</w:t>
      </w:r>
      <w:r>
        <w:rPr>
          <w:b/>
          <w:lang w:val="en-US"/>
        </w:rPr>
        <w:t>环境噪声</w:t>
      </w:r>
      <w:r>
        <w:rPr>
          <w:rFonts w:hint="eastAsia"/>
          <w:b/>
          <w:lang w:val="en-US"/>
        </w:rPr>
        <w:t>源</w:t>
      </w:r>
      <w:r>
        <w:rPr>
          <w:rFonts w:hint="eastAsia"/>
          <w:lang w:val="en-US"/>
        </w:rPr>
        <w:t>、</w:t>
      </w:r>
      <w:r>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r>
        <w:rPr>
          <w:rFonts w:hint="eastAsia"/>
          <w:kern w:val="2"/>
        </w:rPr>
        <w:t>计算</w:t>
      </w:r>
      <w:r>
        <w:rPr>
          <w:kern w:val="2"/>
        </w:rPr>
        <w:t>过程</w:t>
      </w:r>
    </w:p>
    <w:p>
      <w:pPr>
        <w:pStyle w:val="3"/>
        <w:ind w:firstLine="420"/>
        <w:rPr>
          <w:lang w:val="en-US"/>
        </w:rPr>
      </w:pPr>
      <w:r>
        <w:rPr>
          <w:rFonts w:hint="eastAsia"/>
          <w:lang w:val="en-US"/>
        </w:rPr>
        <w:t>本项目通过对整栋建筑的分析，确定了主要功能房间中噪声级最不利的房间为</w:t>
      </w:r>
      <w:bookmarkStart w:id="26" w:name="最不利房间编号2"/>
      <w:r>
        <w:rPr>
          <w:rFonts w:hint="eastAsia"/>
          <w:lang w:val="en-US"/>
        </w:rPr>
        <w:t>1018房间,房间类型[普通会议室]</w:t>
      </w:r>
      <w:bookmarkEnd w:id="26"/>
      <w:r>
        <w:rPr>
          <w:rFonts w:hint="eastAsia"/>
          <w:lang w:val="en-US"/>
        </w:rPr>
        <w:t>，报告书阐述该房间室内噪声级计算过程，房间情况如下图所示：</w:t>
      </w:r>
    </w:p>
    <w:p>
      <w:pPr>
        <w:jc w:val="center"/>
        <w:rPr>
          <w:lang w:val="en-US"/>
        </w:rPr>
      </w:pPr>
      <w:bookmarkStart w:id="27" w:name="最不利房间楼层平面图"/>
      <w:bookmarkEnd w:id="27"/>
      <w:r>
        <w:drawing>
          <wp:inline distT="0" distB="0" distL="0" distR="0">
            <wp:extent cx="5667375" cy="61436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9"/>
                    <a:stretch>
                      <a:fillRect/>
                    </a:stretch>
                  </pic:blipFill>
                  <pic:spPr>
                    <a:xfrm>
                      <a:off x="0" y="0"/>
                      <a:ext cx="5667375" cy="6143625"/>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r>
        <w:rPr>
          <w:rFonts w:hint="eastAsia"/>
        </w:rPr>
        <w:t>室外</w:t>
      </w:r>
      <w:r>
        <w:t>边界噪声</w:t>
      </w:r>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28" w:name="昼间边界噪声"/>
      <w:r>
        <w:t>55</w:t>
      </w:r>
      <w:bookmarkEnd w:id="28"/>
      <w:r>
        <w:rPr>
          <w:rFonts w:hint="eastAsia"/>
          <w:b/>
          <w:kern w:val="2"/>
          <w:lang w:val="en-US"/>
        </w:rPr>
        <w:t>dB</w:t>
      </w:r>
      <w:r>
        <w:rPr>
          <w:b/>
          <w:kern w:val="2"/>
          <w:lang w:val="en-US"/>
        </w:rPr>
        <w:t>(A)</w:t>
      </w:r>
      <w:r>
        <w:rPr>
          <w:rFonts w:hint="eastAsia"/>
          <w:b/>
          <w:kern w:val="2"/>
          <w:lang w:val="en-US"/>
        </w:rPr>
        <w:t>， 夜间为</w:t>
      </w:r>
      <w:bookmarkStart w:id="29" w:name="夜间边界噪声"/>
      <w:r>
        <w:t>45</w:t>
      </w:r>
      <w:bookmarkEnd w:id="29"/>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r>
        <w:t>构件空气声隔声</w:t>
      </w:r>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r>
              <w:t>40</w:t>
            </w:r>
          </w:p>
        </w:tc>
        <w:tc>
          <w:tcPr>
            <w:vAlign w:val="center"/>
          </w:tcPr>
          <w:p>
            <w:r>
              <w:t>2300</w:t>
            </w:r>
          </w:p>
        </w:tc>
        <w:tc>
          <w:tcPr>
            <w:vAlign w:val="center"/>
          </w:tcPr>
          <w:p>
            <w:r>
              <w:t>92</w:t>
            </w:r>
          </w:p>
        </w:tc>
        <w:tc>
          <w:tcPr>
            <w:vMerge w:val="restart"/>
            <w:vAlign w:val="center"/>
          </w:tcPr>
          <w:p>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加气混凝土、泡沫混凝土(ρ=700)</w:t>
            </w:r>
          </w:p>
        </w:tc>
        <w:tc>
          <w:tcPr>
            <w:vAlign w:val="center"/>
          </w:tcPr>
          <w:p>
            <w:r>
              <w:t>80</w:t>
            </w:r>
          </w:p>
        </w:tc>
        <w:tc>
          <w:tcPr>
            <w:vAlign w:val="center"/>
          </w:tcPr>
          <w:p>
            <w:r>
              <w:t>700</w:t>
            </w:r>
          </w:p>
        </w:tc>
        <w:tc>
          <w:tcPr>
            <w:vAlign w:val="center"/>
          </w:tcPr>
          <w:p>
            <w:r>
              <w:t>56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bl>
    <w:p>
      <w:pPr>
        <w:jc w:val="center"/>
        <w:rPr>
          <w:lang w:val="en-US"/>
        </w:rPr>
      </w:pPr>
      <w:bookmarkStart w:id="30" w:name="最不利房间围护结构材料清单"/>
      <w:bookmarkEnd w:id="30"/>
    </w:p>
    <w:p>
      <w:pPr>
        <w:pStyle w:val="3"/>
        <w:numPr>
          <w:ilvl w:val="0"/>
          <w:numId w:val="5"/>
        </w:numPr>
        <w:rPr>
          <w:lang w:val="en-US"/>
        </w:rPr>
      </w:pPr>
      <w:r>
        <w:rPr>
          <w:rFonts w:hint="eastAsia"/>
          <w:lang w:val="en-US"/>
        </w:rPr>
        <w:t>符合质量定律的构件，可按面密度m计算各频率下的空气声隔声量：</w:t>
      </w:r>
      <w:r>
        <w:rPr>
          <w:lang w:val="en-US"/>
        </w:rPr>
        <w:t xml:space="preserve"> </w:t>
      </w:r>
    </w:p>
    <w:p>
      <w:pPr>
        <w:pStyle w:val="3"/>
        <w:rPr>
          <w:kern w:val="2"/>
          <w:lang w:val="en-US"/>
        </w:rPr>
      </w:pPr>
      <m:oMathPara>
        <m:oMath>
          <m:r>
            <m:rPr/>
            <w:rPr>
              <w:rFonts w:ascii="Cambria Math" w:hAnsi="Cambria Math"/>
            </w:rPr>
            <m:t>R</m:t>
          </m:r>
          <m:r>
            <m:rPr>
              <m:sty m:val="p"/>
            </m:rPr>
            <w:rPr>
              <w:rFonts w:ascii="Cambria Math" w:hAnsi="Cambria Math"/>
            </w:rPr>
            <m:t>=</m:t>
          </m:r>
          <w:bookmarkStart w:id="31" w:name="公式A1"/>
          <m:r>
            <m:rPr>
              <m:sty m:val="p"/>
            </m:rPr>
            <m:t>23</m:t>
          </m:r>
          <w:bookmarkEnd w:id="31"/>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32" w:name="公式B1"/>
          <m:r>
            <m:rPr>
              <m:sty m:val="p"/>
            </m:rPr>
            <m:t>11</m:t>
          </m:r>
          <w:bookmarkEnd w:id="32"/>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33" w:name="公式C1"/>
          <m:r>
            <m:rPr>
              <m:sty m:val="p"/>
            </m:rPr>
            <m:t>−41</m:t>
          </m:r>
          <w:bookmarkEnd w:id="33"/>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pPr>
      <m:oMathPara>
        <m:oMathParaPr>
          <m:jc m:val="center"/>
        </m:oMathParaPr>
        <m:oMath>
          <m:r>
            <m:rPr/>
            <w:rPr>
              <w:rFonts w:ascii="Cambria Math" w:hAnsi="Cambria Math"/>
            </w:rPr>
            <m:t>R</m:t>
          </m:r>
          <m:r>
            <m:rPr>
              <m:sty m:val="p"/>
            </m:rPr>
            <w:rPr>
              <w:rFonts w:ascii="Cambria Math" w:hAnsi="Cambria Math"/>
            </w:rPr>
            <m:t>=</m:t>
          </m:r>
          <w:bookmarkStart w:id="34" w:name="公式A2"/>
          <m:r>
            <m:rPr>
              <m:sty m:val="p"/>
            </m:rPr>
            <m:t>13</m:t>
          </m:r>
          <w:bookmarkEnd w:id="34"/>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35" w:name="公式B2"/>
          <m:r>
            <m:rPr>
              <m:sty m:val="p"/>
            </m:rPr>
            <m:t>11</m:t>
          </m:r>
          <w:bookmarkEnd w:id="35"/>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36" w:name="公式C2"/>
          <m:r>
            <m:rPr>
              <m:sty m:val="p"/>
            </m:rPr>
            <m:t>−18</m:t>
          </m:r>
          <w:bookmarkEnd w:id="36"/>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ind w:left="360" w:leftChars="200" w:firstLine="420"/>
        <w:rPr>
          <w:rFonts w:ascii="Cambria Math" w:hAnsi="Cambria Math"/>
        </w:rPr>
      </w:pPr>
      <w:r>
        <w:rPr>
          <w:rFonts w:hint="eastAsia"/>
        </w:rPr>
        <w:t>式中：</w:t>
      </w: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ind w:left="360" w:leftChars="200" w:firstLine="420"/>
        <w:rPr>
          <w:kern w:val="2"/>
          <w:sz w:val="18"/>
          <w:lang w:val="en-US"/>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40.0</w:t>
            </w:r>
          </w:p>
        </w:tc>
        <w:tc>
          <w:tcPr>
            <w:vAlign w:val="center"/>
          </w:tcPr>
          <w:p>
            <w:r>
              <w:t>50.0</w:t>
            </w:r>
          </w:p>
        </w:tc>
        <w:tc>
          <w:tcPr>
            <w:vAlign w:val="center"/>
          </w:tcPr>
          <w:p>
            <w:r>
              <w:t>50.0</w:t>
            </w:r>
          </w:p>
        </w:tc>
        <w:tc>
          <w:tcPr>
            <w:vAlign w:val="center"/>
          </w:tcPr>
          <w:p>
            <w:r>
              <w:t>57.0</w:t>
            </w:r>
          </w:p>
        </w:tc>
        <w:tc>
          <w:tcPr>
            <w:vAlign w:val="center"/>
          </w:tcPr>
          <w:p>
            <w:r>
              <w:t>65.0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双层100厚加气混凝土中空150厚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bl>
    <w:p>
      <w:pPr>
        <w:jc w:val="center"/>
      </w:pPr>
      <w:bookmarkStart w:id="37" w:name="外墙隔声量"/>
      <w:bookmarkEnd w:id="37"/>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31.0</w:t>
            </w:r>
          </w:p>
        </w:tc>
        <w:tc>
          <w:tcPr>
            <w:vAlign w:val="center"/>
          </w:tcPr>
          <w:p>
            <w:r>
              <w:t>41.0</w:t>
            </w:r>
          </w:p>
        </w:tc>
        <w:tc>
          <w:tcPr>
            <w:vAlign w:val="center"/>
          </w:tcPr>
          <w:p>
            <w:r>
              <w:t>50.0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shd w:val="clear" w:color="auto" w:fill="E6E6E6"/>
            <w:vAlign w:val="center"/>
          </w:tcPr>
          <w:p>
            <w:r>
              <w:t>参照构造</w:t>
            </w:r>
          </w:p>
        </w:tc>
        <w:tc>
          <w:tcPr>
            <w:gridSpan w:val="5"/>
            <w:vAlign w:val="center"/>
          </w:tcPr>
          <w:p>
            <w:r>
              <w:t>4+254A+4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bl>
    <w:p>
      <w:pPr>
        <w:jc w:val="center"/>
        <w:rPr>
          <w:lang w:val="en-US"/>
        </w:rPr>
      </w:pPr>
      <w:bookmarkStart w:id="38" w:name="门窗隔声量"/>
      <w:bookmarkEnd w:id="38"/>
    </w:p>
    <w:p>
      <w:pPr>
        <w:pStyle w:val="4"/>
      </w:pPr>
      <w:r>
        <w:rPr>
          <w:rFonts w:hint="eastAsia"/>
        </w:rPr>
        <w:t>房间</w:t>
      </w:r>
      <w:r>
        <w:t>总吸声量计算</w:t>
      </w:r>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05pt;width:72.7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pt;width:15.6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pt;width:15.6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35pt;width:12.9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837"/>
        <w:gridCol w:w="792"/>
        <w:gridCol w:w="792"/>
        <w:gridCol w:w="792"/>
        <w:gridCol w:w="933"/>
        <w:gridCol w:w="933"/>
        <w:gridCol w:w="31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125Hz</w:t>
            </w:r>
          </w:p>
        </w:tc>
        <w:tc>
          <w:tcPr>
            <w:shd w:val="clear" w:color="auto" w:fill="E6E6E6"/>
            <w:vAlign w:val="center"/>
          </w:tcPr>
          <w:p>
            <w:r>
              <w:t>250Hz</w:t>
            </w:r>
          </w:p>
        </w:tc>
        <w:tc>
          <w:tcPr>
            <w:shd w:val="clear" w:color="auto" w:fill="E6E6E6"/>
            <w:vAlign w:val="center"/>
          </w:tcPr>
          <w:p>
            <w:r>
              <w:t>500Hz</w:t>
            </w:r>
          </w:p>
        </w:tc>
        <w:tc>
          <w:tcPr>
            <w:shd w:val="clear" w:color="auto" w:fill="E6E6E6"/>
            <w:vAlign w:val="center"/>
          </w:tcPr>
          <w:p>
            <w:r>
              <w:t>1000Hz</w:t>
            </w:r>
          </w:p>
        </w:tc>
        <w:tc>
          <w:tcPr>
            <w:shd w:val="clear" w:color="auto" w:fill="E6E6E6"/>
            <w:vAlign w:val="center"/>
          </w:tcPr>
          <w:p>
            <w:r>
              <w:t>2000Hz</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103.6</w:t>
            </w:r>
          </w:p>
        </w:tc>
        <w:tc>
          <w:tcPr>
            <w:vAlign w:val="center"/>
          </w:tcPr>
          <w:p>
            <w:r>
              <w:t>0.010</w:t>
            </w:r>
          </w:p>
        </w:tc>
        <w:tc>
          <w:tcPr>
            <w:vAlign w:val="center"/>
          </w:tcPr>
          <w:p>
            <w:r>
              <w:t>0.020</w:t>
            </w:r>
          </w:p>
        </w:tc>
        <w:tc>
          <w:tcPr>
            <w:vAlign w:val="center"/>
          </w:tcPr>
          <w:p>
            <w:r>
              <w:t>0.040</w:t>
            </w:r>
          </w:p>
        </w:tc>
        <w:tc>
          <w:tcPr>
            <w:vAlign w:val="center"/>
          </w:tcPr>
          <w:p>
            <w:r>
              <w:t>0.060</w:t>
            </w:r>
          </w:p>
        </w:tc>
        <w:tc>
          <w:tcPr>
            <w:vAlign w:val="center"/>
          </w:tcPr>
          <w:p>
            <w:r>
              <w:t>0.080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外墙</w:t>
            </w:r>
          </w:p>
        </w:tc>
        <w:tc>
          <w:tcPr>
            <w:shd w:val="clear" w:color="auto" w:fill="E6E6E6"/>
            <w:vAlign w:val="center"/>
          </w:tcPr>
          <w:p>
            <w:r>
              <w:t>81.9</w:t>
            </w:r>
          </w:p>
        </w:tc>
        <w:tc>
          <w:tcPr>
            <w:vAlign w:val="center"/>
          </w:tcPr>
          <w:p>
            <w:r>
              <w:t>0.010</w:t>
            </w:r>
          </w:p>
        </w:tc>
        <w:tc>
          <w:tcPr>
            <w:vAlign w:val="center"/>
          </w:tcPr>
          <w:p>
            <w:r>
              <w:t>0.020</w:t>
            </w:r>
          </w:p>
        </w:tc>
        <w:tc>
          <w:tcPr>
            <w:vAlign w:val="center"/>
          </w:tcPr>
          <w:p>
            <w:r>
              <w:t>0.040</w:t>
            </w:r>
          </w:p>
        </w:tc>
        <w:tc>
          <w:tcPr>
            <w:vAlign w:val="center"/>
          </w:tcPr>
          <w:p>
            <w:r>
              <w:t>0.060</w:t>
            </w:r>
          </w:p>
        </w:tc>
        <w:tc>
          <w:tcPr>
            <w:vAlign w:val="center"/>
          </w:tcPr>
          <w:p>
            <w:r>
              <w:t>0.080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内窗</w:t>
            </w:r>
          </w:p>
        </w:tc>
        <w:tc>
          <w:tcPr>
            <w:shd w:val="clear" w:color="auto" w:fill="E6E6E6"/>
            <w:vAlign w:val="center"/>
          </w:tcPr>
          <w:p>
            <w:r>
              <w:t>11.3</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内门</w:t>
            </w:r>
          </w:p>
        </w:tc>
        <w:tc>
          <w:tcPr>
            <w:shd w:val="clear" w:color="auto" w:fill="E6E6E6"/>
            <w:vAlign w:val="center"/>
          </w:tcPr>
          <w:p>
            <w:r>
              <w:t>4.8</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外窗</w:t>
            </w:r>
          </w:p>
        </w:tc>
        <w:tc>
          <w:tcPr>
            <w:shd w:val="clear" w:color="auto" w:fill="E6E6E6"/>
            <w:vAlign w:val="center"/>
          </w:tcPr>
          <w:p>
            <w:r>
              <w:t>30.2</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w:t>
            </w:r>
          </w:p>
        </w:tc>
        <w:tc>
          <w:tcPr>
            <w:shd w:val="clear" w:color="auto" w:fill="E6E6E6"/>
            <w:vAlign w:val="center"/>
          </w:tcPr>
          <w:p>
            <w:r>
              <w:t>186.9</w:t>
            </w:r>
          </w:p>
        </w:tc>
        <w:tc>
          <w:tcPr>
            <w:vAlign w:val="center"/>
          </w:tcPr>
          <w:p>
            <w:r>
              <w:t>0.000</w:t>
            </w:r>
          </w:p>
        </w:tc>
        <w:tc>
          <w:tcPr>
            <w:vAlign w:val="center"/>
          </w:tcPr>
          <w:p>
            <w:r>
              <w:t>0.000</w:t>
            </w:r>
          </w:p>
        </w:tc>
        <w:tc>
          <w:tcPr>
            <w:vAlign w:val="center"/>
          </w:tcPr>
          <w:p>
            <w:r>
              <w:t>0.000</w:t>
            </w:r>
          </w:p>
        </w:tc>
        <w:tc>
          <w:tcPr>
            <w:vAlign w:val="center"/>
          </w:tcPr>
          <w:p>
            <w:r>
              <w:t>0.000</w:t>
            </w:r>
          </w:p>
        </w:tc>
        <w:tc>
          <w:tcPr>
            <w:vAlign w:val="center"/>
          </w:tcPr>
          <w:p>
            <w:r>
              <w:t>0.000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186.9</w:t>
            </w:r>
          </w:p>
        </w:tc>
        <w:tc>
          <w:tcPr>
            <w:vAlign w:val="center"/>
          </w:tcPr>
          <w:p>
            <w:r>
              <w:t>0.010</w:t>
            </w:r>
          </w:p>
        </w:tc>
        <w:tc>
          <w:tcPr>
            <w:vAlign w:val="center"/>
          </w:tcPr>
          <w:p>
            <w:r>
              <w:t>0.020</w:t>
            </w:r>
          </w:p>
        </w:tc>
        <w:tc>
          <w:tcPr>
            <w:vAlign w:val="center"/>
          </w:tcPr>
          <w:p>
            <w:r>
              <w:t>0.040</w:t>
            </w:r>
          </w:p>
        </w:tc>
        <w:tc>
          <w:tcPr>
            <w:vAlign w:val="center"/>
          </w:tcPr>
          <w:p>
            <w:r>
              <w:t>0.060</w:t>
            </w:r>
          </w:p>
        </w:tc>
        <w:tc>
          <w:tcPr>
            <w:vAlign w:val="center"/>
          </w:tcPr>
          <w:p>
            <w:r>
              <w:t>0.080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19.0</w:t>
            </w:r>
          </w:p>
        </w:tc>
        <w:tc>
          <w:tcPr>
            <w:vAlign w:val="center"/>
          </w:tcPr>
          <w:p>
            <w:r>
              <w:t>18.6</w:t>
            </w:r>
          </w:p>
        </w:tc>
        <w:tc>
          <w:tcPr>
            <w:vAlign w:val="center"/>
          </w:tcPr>
          <w:p>
            <w:r>
              <w:t>22.9</w:t>
            </w:r>
          </w:p>
        </w:tc>
        <w:tc>
          <w:tcPr>
            <w:vAlign w:val="center"/>
          </w:tcPr>
          <w:p>
            <w:r>
              <w:t>27.8</w:t>
            </w:r>
          </w:p>
        </w:tc>
        <w:tc>
          <w:tcPr>
            <w:vAlign w:val="center"/>
          </w:tcPr>
          <w:p>
            <w:r>
              <w:t>33.2</w:t>
            </w:r>
          </w:p>
        </w:tc>
        <w:tc>
          <w:tcPr>
            <w:vAlign w:val="center"/>
          </w:tcPr>
          <w:p/>
        </w:tc>
      </w:tr>
    </w:tbl>
    <w:p>
      <w:pPr>
        <w:jc w:val="center"/>
        <w:rPr>
          <w:lang w:val="en-US"/>
        </w:rPr>
      </w:pPr>
      <w:bookmarkStart w:id="39" w:name="围护结构吸声量"/>
      <w:bookmarkEnd w:id="39"/>
    </w:p>
    <w:p>
      <w:pPr>
        <w:pStyle w:val="4"/>
      </w:pPr>
      <w:r>
        <w:rPr>
          <w:rFonts w:hint="eastAsia"/>
        </w:rPr>
        <w:t>组合墙</w:t>
      </w:r>
      <w:r>
        <w:t>空气声隔声量计算</w:t>
      </w:r>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w:t>
      </w:r>
      <w:r>
        <w:rPr>
          <w:rFonts w:hint="eastAsia"/>
          <w:b/>
        </w:rPr>
        <w:t>房间吸声</w:t>
      </w:r>
      <w:r>
        <w:rPr>
          <w:rFonts w:hint="eastAsia"/>
        </w:rPr>
        <w:t>、</w:t>
      </w:r>
      <w:r>
        <w:rPr>
          <w:rFonts w:hint="eastAsia"/>
          <w:b/>
        </w:rPr>
        <w:t>孔洞缝隙</w:t>
      </w:r>
      <w:r>
        <w:rPr>
          <w:rFonts w:hint="eastAsia"/>
        </w:rPr>
        <w:t>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r>
        <w:rPr>
          <w:rFonts w:hint="eastAsia"/>
        </w:rPr>
        <w:t>组合墙</w:t>
      </w:r>
      <w:r>
        <w:t>有效隔声量</w:t>
      </w:r>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pt;width:13.6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pt;width:16.3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7pt;width:13.6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pt;width:15.6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r>
        <w:rPr>
          <w:rFonts w:hint="eastAsia"/>
        </w:rPr>
        <w:t>组合墙</w:t>
      </w:r>
      <w:r>
        <w:t>隔声单值评价量、频谱修正量</w:t>
      </w:r>
    </w:p>
    <w:p>
      <w:pPr>
        <w:pStyle w:val="3"/>
        <w:ind w:firstLine="420"/>
        <w:rPr>
          <w:kern w:val="2"/>
          <w:szCs w:val="24"/>
          <w:lang w:val="en-US"/>
        </w:rPr>
      </w:pPr>
      <w:r>
        <w:rPr>
          <w:rFonts w:hint="eastAsia"/>
          <w:b/>
          <w:lang w:val="en-US"/>
        </w:rPr>
        <w:t>单值评价量</w:t>
      </w:r>
      <w:r>
        <w:rPr>
          <w:rFonts w:hint="eastAsia"/>
          <w:lang w:val="en-US"/>
        </w:rPr>
        <w:t>是</w:t>
      </w:r>
      <w:r>
        <w:rPr>
          <w:rFonts w:ascii="Arial" w:hAnsi="Arial" w:cs="Arial"/>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3pt;width:16.3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3pt;width:12.2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3.6pt;width:12.2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r>
        <w:rPr>
          <w:rFonts w:hint="eastAsia"/>
        </w:rPr>
        <w:t>缝隙对组合墙隔声量的影响</w:t>
      </w:r>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35pt;width:13.6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8.35pt;width:13.6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420" w:firstLineChars="200"/>
      </w:pPr>
      <w:r>
        <w:rPr>
          <w:rFonts w:hint="eastAsia" w:ascii="黑体" w:hAnsi="黑体" w:eastAsia="黑体"/>
        </w:rPr>
        <w:t>注：一般的门</w:t>
      </w:r>
      <w:r>
        <w:rPr>
          <w:rFonts w:ascii="黑体" w:hAnsi="黑体" w:eastAsia="黑体"/>
        </w:rPr>
        <w:t>/</w:t>
      </w:r>
      <w:r>
        <w:rPr>
          <w:rFonts w:hint="eastAsia" w:ascii="黑体" w:hAnsi="黑体" w:eastAsia="黑体"/>
        </w:rPr>
        <w:t>窗与墙之间的缝隙为</w:t>
      </w:r>
      <w:r>
        <w:rPr>
          <w:rFonts w:ascii="黑体" w:hAnsi="黑体" w:eastAsia="黑体"/>
        </w:rPr>
        <w:t>0.5cm</w:t>
      </w:r>
      <w:r>
        <w:rPr>
          <w:rFonts w:hint="eastAsia" w:ascii="黑体" w:hAnsi="黑体" w:eastAsia="黑体"/>
        </w:rPr>
        <w:t>（装配式）和</w:t>
      </w:r>
      <w:r>
        <w:rPr>
          <w:rFonts w:ascii="黑体" w:hAnsi="黑体" w:eastAsia="黑体"/>
        </w:rPr>
        <w:t>1cm</w:t>
      </w:r>
      <w:r>
        <w:rPr>
          <w:rFonts w:hint="eastAsia" w:ascii="黑体" w:hAnsi="黑体" w:eastAsia="黑体"/>
        </w:rPr>
        <w:t>（非装配式）。</w:t>
      </w:r>
    </w:p>
    <w:p>
      <w:pPr>
        <w:pStyle w:val="5"/>
      </w:pPr>
      <w:r>
        <w:rPr>
          <w:rFonts w:hint="eastAsia"/>
        </w:rPr>
        <w:t>组合墙隔声量计算过程</w:t>
      </w:r>
    </w:p>
    <w:p>
      <w:pPr>
        <w:pStyle w:val="3"/>
        <w:ind w:firstLine="420" w:firstLineChars="200"/>
        <w:jc w:val="left"/>
      </w:pPr>
      <w:r>
        <w:t>本建筑最不利房间的情况如下图所示：</w:t>
      </w:r>
    </w:p>
    <w:p>
      <w:pPr>
        <w:jc w:val="center"/>
      </w:pPr>
      <w:bookmarkStart w:id="40" w:name="最不利房间平面图"/>
      <w:bookmarkEnd w:id="40"/>
      <w:r>
        <w:drawing>
          <wp:inline distT="0" distB="0" distL="0" distR="0">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外墙1+外窗+外窗+外窗</w:t>
            </w:r>
          </w:p>
        </w:tc>
      </w:tr>
      <w:tr>
        <w:tblPrEx>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CellMar>
            <w:top w:w="0" w:type="dxa"/>
            <w:left w:w="108" w:type="dxa"/>
            <w:bottom w:w="0" w:type="dxa"/>
            <w:right w:w="108" w:type="dxa"/>
          </w:tblCellMar>
        </w:tblPrEx>
        <w:tc>
          <w:tcPr>
            <w:shd w:val="clear" w:color="auto" w:fill="E6E6E6"/>
            <w:vAlign w:val="center"/>
          </w:tcPr>
          <w:p>
            <w:r>
              <w:t>外墙隔声量(dB)</w:t>
            </w:r>
          </w:p>
        </w:tc>
        <w:tc>
          <w:tcPr>
            <w:vAlign w:val="center"/>
          </w:tcPr>
          <w:p>
            <w:r>
              <w:t>40.0</w:t>
            </w:r>
          </w:p>
        </w:tc>
        <w:tc>
          <w:tcPr>
            <w:vAlign w:val="center"/>
          </w:tcPr>
          <w:p>
            <w:r>
              <w:t>50.0</w:t>
            </w:r>
          </w:p>
        </w:tc>
        <w:tc>
          <w:tcPr>
            <w:vAlign w:val="center"/>
          </w:tcPr>
          <w:p>
            <w:r>
              <w:t>50.0</w:t>
            </w:r>
          </w:p>
        </w:tc>
        <w:tc>
          <w:tcPr>
            <w:vAlign w:val="center"/>
          </w:tcPr>
          <w:p>
            <w:r>
              <w:t>57.0</w:t>
            </w:r>
          </w:p>
        </w:tc>
        <w:tc>
          <w:tcPr>
            <w:vAlign w:val="center"/>
          </w:tcPr>
          <w:p>
            <w:r>
              <w:t>65.0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外窗隔声量(dB)</w:t>
            </w:r>
          </w:p>
        </w:tc>
        <w:tc>
          <w:tcPr>
            <w:vAlign w:val="center"/>
          </w:tcPr>
          <w:p>
            <w:r>
              <w:t>31.0</w:t>
            </w:r>
          </w:p>
        </w:tc>
        <w:tc>
          <w:tcPr>
            <w:vAlign w:val="center"/>
          </w:tcPr>
          <w:p>
            <w:r>
              <w:t>41.0</w:t>
            </w:r>
          </w:p>
        </w:tc>
        <w:tc>
          <w:tcPr>
            <w:vAlign w:val="center"/>
          </w:tcPr>
          <w:p>
            <w:r>
              <w:t>50.0</w:t>
            </w:r>
          </w:p>
        </w:tc>
        <w:tc>
          <w:tcPr>
            <w:vAlign w:val="center"/>
          </w:tcPr>
          <w:p>
            <w:r>
              <w:t>50.0</w:t>
            </w:r>
          </w:p>
        </w:tc>
        <w:tc>
          <w:tcPr>
            <w:vAlign w:val="center"/>
          </w:tcPr>
          <w:p>
            <w:r>
              <w:t>51.0</w:t>
            </w:r>
          </w:p>
        </w:tc>
      </w:tr>
      <w:tr>
        <w:tblPrEx>
          <w:tblCellMar>
            <w:top w:w="0" w:type="dxa"/>
            <w:left w:w="108" w:type="dxa"/>
            <w:bottom w:w="0" w:type="dxa"/>
            <w:right w:w="108" w:type="dxa"/>
          </w:tblCellMar>
        </w:tblPrEx>
        <w:tc>
          <w:tcPr>
            <w:shd w:val="clear" w:color="auto" w:fill="E6E6E6"/>
            <w:vAlign w:val="center"/>
          </w:tcPr>
          <w:p>
            <w:r>
              <w:t>外窗隔声量(dB)</w:t>
            </w:r>
          </w:p>
        </w:tc>
        <w:tc>
          <w:tcPr>
            <w:vAlign w:val="center"/>
          </w:tcPr>
          <w:p>
            <w:r>
              <w:t>31.0</w:t>
            </w:r>
          </w:p>
        </w:tc>
        <w:tc>
          <w:tcPr>
            <w:vAlign w:val="center"/>
          </w:tcPr>
          <w:p>
            <w:r>
              <w:t>41.0</w:t>
            </w:r>
          </w:p>
        </w:tc>
        <w:tc>
          <w:tcPr>
            <w:vAlign w:val="center"/>
          </w:tcPr>
          <w:p>
            <w:r>
              <w:t>50.0</w:t>
            </w:r>
          </w:p>
        </w:tc>
        <w:tc>
          <w:tcPr>
            <w:vAlign w:val="center"/>
          </w:tcPr>
          <w:p>
            <w:r>
              <w:t>50.0</w:t>
            </w:r>
          </w:p>
        </w:tc>
        <w:tc>
          <w:tcPr>
            <w:vAlign w:val="center"/>
          </w:tcPr>
          <w:p>
            <w:r>
              <w:t>51.0</w:t>
            </w:r>
          </w:p>
        </w:tc>
      </w:tr>
      <w:tr>
        <w:tblPrEx>
          <w:tblCellMar>
            <w:top w:w="0" w:type="dxa"/>
            <w:left w:w="108" w:type="dxa"/>
            <w:bottom w:w="0" w:type="dxa"/>
            <w:right w:w="108" w:type="dxa"/>
          </w:tblCellMar>
        </w:tblPrEx>
        <w:tc>
          <w:tcPr>
            <w:shd w:val="clear" w:color="auto" w:fill="E6E6E6"/>
            <w:vAlign w:val="center"/>
          </w:tcPr>
          <w:p>
            <w:r>
              <w:t>外窗隔声量(dB)</w:t>
            </w:r>
          </w:p>
        </w:tc>
        <w:tc>
          <w:tcPr>
            <w:vAlign w:val="center"/>
          </w:tcPr>
          <w:p>
            <w:r>
              <w:t>31.0</w:t>
            </w:r>
          </w:p>
        </w:tc>
        <w:tc>
          <w:tcPr>
            <w:vAlign w:val="center"/>
          </w:tcPr>
          <w:p>
            <w:r>
              <w:t>41.0</w:t>
            </w:r>
          </w:p>
        </w:tc>
        <w:tc>
          <w:tcPr>
            <w:vAlign w:val="center"/>
          </w:tcPr>
          <w:p>
            <w:r>
              <w:t>50.0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0.000248</w:t>
            </w:r>
          </w:p>
        </w:tc>
        <w:tc>
          <w:tcPr>
            <w:vAlign w:val="center"/>
          </w:tcPr>
          <w:p>
            <w:r>
              <w:t>0.000026</w:t>
            </w:r>
          </w:p>
        </w:tc>
        <w:tc>
          <w:tcPr>
            <w:vAlign w:val="center"/>
          </w:tcPr>
          <w:p>
            <w:r>
              <w:t>0.000011</w:t>
            </w:r>
          </w:p>
        </w:tc>
        <w:tc>
          <w:tcPr>
            <w:vAlign w:val="center"/>
          </w:tcPr>
          <w:p>
            <w:r>
              <w:t>0.000005</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36.1</w:t>
            </w:r>
          </w:p>
        </w:tc>
        <w:tc>
          <w:tcPr>
            <w:vAlign w:val="center"/>
          </w:tcPr>
          <w:p>
            <w:r>
              <w:t>46.1</w:t>
            </w:r>
          </w:p>
        </w:tc>
        <w:tc>
          <w:tcPr>
            <w:vAlign w:val="center"/>
          </w:tcPr>
          <w:p>
            <w:r>
              <w:t>50.0</w:t>
            </w:r>
          </w:p>
        </w:tc>
        <w:tc>
          <w:tcPr>
            <w:vAlign w:val="center"/>
          </w:tcPr>
          <w:p>
            <w:r>
              <w:t>54.3</w:t>
            </w:r>
          </w:p>
        </w:tc>
        <w:tc>
          <w:tcPr>
            <w:vAlign w:val="center"/>
          </w:tcPr>
          <w:p>
            <w:r>
              <w:t>57.1</w:t>
            </w:r>
          </w:p>
        </w:tc>
      </w:tr>
      <w:tr>
        <w:tblPrEx>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31.0</w:t>
            </w:r>
          </w:p>
        </w:tc>
        <w:tc>
          <w:tcPr>
            <w:vAlign w:val="center"/>
          </w:tcPr>
          <w:p>
            <w:r>
              <w:t>40.9</w:t>
            </w:r>
          </w:p>
        </w:tc>
        <w:tc>
          <w:tcPr>
            <w:vAlign w:val="center"/>
          </w:tcPr>
          <w:p>
            <w:r>
              <w:t>45.7</w:t>
            </w:r>
          </w:p>
        </w:tc>
        <w:tc>
          <w:tcPr>
            <w:vAlign w:val="center"/>
          </w:tcPr>
          <w:p>
            <w:r>
              <w:t>50.9</w:t>
            </w:r>
          </w:p>
        </w:tc>
        <w:tc>
          <w:tcPr>
            <w:vAlign w:val="center"/>
          </w:tcPr>
          <w:p>
            <w:r>
              <w:t>54.5</w:t>
            </w:r>
          </w:p>
        </w:tc>
      </w:tr>
      <w:tr>
        <w:tblPrEx>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49</w:t>
            </w:r>
          </w:p>
        </w:tc>
      </w:tr>
      <w:tr>
        <w:tblPrEx>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-6</w:t>
            </w:r>
          </w:p>
        </w:tc>
      </w:tr>
      <w:tr>
        <w:tblPrEx>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61.3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27</w:t>
            </w:r>
          </w:p>
        </w:tc>
      </w:tr>
      <w:tr>
        <w:tblPrEx>
          <w:tblCellMar>
            <w:top w:w="0" w:type="dxa"/>
            <w:left w:w="108" w:type="dxa"/>
            <w:bottom w:w="0" w:type="dxa"/>
            <w:right w:w="108" w:type="dxa"/>
          </w:tblCellMar>
        </w:tblPrEx>
        <w:tc>
          <w:tcPr>
            <w:gridSpan w:val="6"/>
            <w:shd w:val="clear" w:color="auto" w:fill="E6E6E6"/>
            <w:vAlign w:val="center"/>
          </w:tcPr>
          <w:p>
            <w:pPr>
              <w:jc w:val="center"/>
            </w:pPr>
            <w:r>
              <w:t>外墙2+外窗+外窗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40.0</w:t>
            </w:r>
          </w:p>
        </w:tc>
        <w:tc>
          <w:tcPr>
            <w:vAlign w:val="center"/>
          </w:tcPr>
          <w:p>
            <w:r>
              <w:t>50.0</w:t>
            </w:r>
          </w:p>
        </w:tc>
        <w:tc>
          <w:tcPr>
            <w:vAlign w:val="center"/>
          </w:tcPr>
          <w:p>
            <w:r>
              <w:t>50.0</w:t>
            </w:r>
          </w:p>
        </w:tc>
        <w:tc>
          <w:tcPr>
            <w:vAlign w:val="center"/>
          </w:tcPr>
          <w:p>
            <w:r>
              <w:t>57.0</w:t>
            </w:r>
          </w:p>
        </w:tc>
        <w:tc>
          <w:tcPr>
            <w:vAlign w:val="center"/>
          </w:tcPr>
          <w:p>
            <w:r>
              <w:t>65.0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外窗隔声量(dB)</w:t>
            </w:r>
          </w:p>
        </w:tc>
        <w:tc>
          <w:tcPr>
            <w:vAlign w:val="center"/>
          </w:tcPr>
          <w:p>
            <w:r>
              <w:t>31.0</w:t>
            </w:r>
          </w:p>
        </w:tc>
        <w:tc>
          <w:tcPr>
            <w:vAlign w:val="center"/>
          </w:tcPr>
          <w:p>
            <w:r>
              <w:t>41.0</w:t>
            </w:r>
          </w:p>
        </w:tc>
        <w:tc>
          <w:tcPr>
            <w:vAlign w:val="center"/>
          </w:tcPr>
          <w:p>
            <w:r>
              <w:t>50.0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外窗隔声量(dB)</w:t>
            </w:r>
          </w:p>
        </w:tc>
        <w:tc>
          <w:tcPr>
            <w:vAlign w:val="center"/>
          </w:tcPr>
          <w:p>
            <w:r>
              <w:t>31.0</w:t>
            </w:r>
          </w:p>
        </w:tc>
        <w:tc>
          <w:tcPr>
            <w:vAlign w:val="center"/>
          </w:tcPr>
          <w:p>
            <w:r>
              <w:t>41.0</w:t>
            </w:r>
          </w:p>
        </w:tc>
        <w:tc>
          <w:tcPr>
            <w:vAlign w:val="center"/>
          </w:tcPr>
          <w:p>
            <w:r>
              <w:t>50.0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0.000337</w:t>
            </w:r>
          </w:p>
        </w:tc>
        <w:tc>
          <w:tcPr>
            <w:vAlign w:val="center"/>
          </w:tcPr>
          <w:p>
            <w:r>
              <w:t>0.000035</w:t>
            </w:r>
          </w:p>
        </w:tc>
        <w:tc>
          <w:tcPr>
            <w:vAlign w:val="center"/>
          </w:tcPr>
          <w:p>
            <w:r>
              <w:t>0.000011</w:t>
            </w:r>
          </w:p>
        </w:tc>
        <w:tc>
          <w:tcPr>
            <w:vAlign w:val="center"/>
          </w:tcPr>
          <w:p>
            <w:r>
              <w:t>0.000006</w:t>
            </w:r>
          </w:p>
        </w:tc>
        <w:tc>
          <w:tcPr>
            <w:vAlign w:val="center"/>
          </w:tcPr>
          <w:p>
            <w:r>
              <w:t>0.000004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34.7</w:t>
            </w:r>
          </w:p>
        </w:tc>
        <w:tc>
          <w:tcPr>
            <w:vAlign w:val="center"/>
          </w:tcPr>
          <w:p>
            <w:r>
              <w:t>44.7</w:t>
            </w:r>
          </w:p>
        </w:tc>
        <w:tc>
          <w:tcPr>
            <w:vAlign w:val="center"/>
          </w:tcPr>
          <w:p>
            <w:r>
              <w:t>50.0</w:t>
            </w:r>
          </w:p>
        </w:tc>
        <w:tc>
          <w:tcPr>
            <w:vAlign w:val="center"/>
          </w:tcPr>
          <w:p>
            <w:r>
              <w:t>53.3</w:t>
            </w:r>
          </w:p>
        </w:tc>
        <w:tc>
          <w:tcPr>
            <w:vAlign w:val="center"/>
          </w:tcPr>
          <w:p>
            <w:r>
              <w:t>55.4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30.5</w:t>
            </w:r>
          </w:p>
        </w:tc>
        <w:tc>
          <w:tcPr>
            <w:vAlign w:val="center"/>
          </w:tcPr>
          <w:p>
            <w:r>
              <w:t>40.4</w:t>
            </w:r>
          </w:p>
        </w:tc>
        <w:tc>
          <w:tcPr>
            <w:vAlign w:val="center"/>
          </w:tcPr>
          <w:p>
            <w:r>
              <w:t>46.5</w:t>
            </w:r>
          </w:p>
        </w:tc>
        <w:tc>
          <w:tcPr>
            <w:vAlign w:val="center"/>
          </w:tcPr>
          <w:p>
            <w:r>
              <w:t>50.6</w:t>
            </w:r>
          </w:p>
        </w:tc>
        <w:tc>
          <w:tcPr>
            <w:vAlign w:val="center"/>
          </w:tcPr>
          <w:p>
            <w:r>
              <w:t>53.5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0.120</w:t>
            </w:r>
          </w:p>
        </w:tc>
      </w:tr>
      <w:tr>
        <w:tblPrEx>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17</w:t>
            </w:r>
          </w:p>
        </w:tc>
      </w:tr>
      <w:tr>
        <w:tblPrEx>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26</w:t>
            </w:r>
          </w:p>
        </w:tc>
      </w:tr>
    </w:tbl>
    <w:p>
      <w:pPr>
        <w:jc w:val="center"/>
        <w:rPr>
          <w:lang w:val="en-US"/>
        </w:rPr>
      </w:pPr>
      <w:bookmarkStart w:id="41" w:name="组合墙隔声量"/>
      <w:bookmarkEnd w:id="41"/>
    </w:p>
    <w:p>
      <w:pPr>
        <w:pStyle w:val="4"/>
      </w:pPr>
      <w:r>
        <w:rPr>
          <w:rFonts w:hint="eastAsia"/>
        </w:rPr>
        <w:t>室外环境噪声通过组合墙传到室内的噪声级计算</w:t>
      </w:r>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8.05pt;width:118.2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7pt;width:33.9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7pt;width:22.4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7pt;width:23.1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7pt;width:26.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8"/>
        <w:gridCol w:w="1148"/>
        <w:gridCol w:w="1148"/>
        <w:gridCol w:w="1290"/>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外墙1+外窗+外窗+外窗</w:t>
            </w:r>
          </w:p>
        </w:tc>
        <w:tc>
          <w:tcPr>
            <w:vAlign w:val="center"/>
          </w:tcPr>
          <w:p>
            <w:r>
              <w:t>55</w:t>
            </w:r>
          </w:p>
        </w:tc>
        <w:tc>
          <w:tcPr>
            <w:vAlign w:val="center"/>
          </w:tcPr>
          <w:p>
            <w:r>
              <w:t>45</w:t>
            </w:r>
          </w:p>
        </w:tc>
        <w:tc>
          <w:tcPr>
            <w:vAlign w:val="center"/>
          </w:tcPr>
          <w:p>
            <w:r>
              <w:t>27</w:t>
            </w:r>
          </w:p>
        </w:tc>
        <w:tc>
          <w:tcPr>
            <w:vAlign w:val="center"/>
          </w:tcPr>
          <w:p>
            <w:r>
              <w:t>27</w:t>
            </w:r>
          </w:p>
        </w:tc>
        <w:tc>
          <w:tcPr>
            <w:vAlign w:val="center"/>
          </w:tcPr>
          <w:p>
            <w:r>
              <w:t>28</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外墙2+外窗+外窗</w:t>
            </w:r>
          </w:p>
        </w:tc>
        <w:tc>
          <w:tcPr>
            <w:vAlign w:val="center"/>
          </w:tcPr>
          <w:p>
            <w:r>
              <w:t>55</w:t>
            </w:r>
          </w:p>
        </w:tc>
        <w:tc>
          <w:tcPr>
            <w:vAlign w:val="center"/>
          </w:tcPr>
          <w:p>
            <w:r>
              <w:t>45</w:t>
            </w:r>
          </w:p>
        </w:tc>
        <w:tc>
          <w:tcPr>
            <w:vAlign w:val="center"/>
          </w:tcPr>
          <w:p>
            <w:r>
              <w:t>26</w:t>
            </w:r>
          </w:p>
        </w:tc>
        <w:tc>
          <w:tcPr>
            <w:vAlign w:val="center"/>
          </w:tcPr>
          <w:p>
            <w:r>
              <w:t>26</w:t>
            </w:r>
          </w:p>
        </w:tc>
        <w:tc>
          <w:tcPr>
            <w:vAlign w:val="center"/>
          </w:tcPr>
          <w:p>
            <w:r>
              <w:t>29</w:t>
            </w:r>
          </w:p>
        </w:tc>
        <w:tc>
          <w:tcPr>
            <w:vAlign w:val="center"/>
          </w:tcPr>
          <w:p>
            <w:r>
              <w:t>19</w:t>
            </w:r>
          </w:p>
        </w:tc>
      </w:tr>
    </w:tbl>
    <w:p>
      <w:pPr>
        <w:jc w:val="center"/>
      </w:pPr>
      <w:bookmarkStart w:id="42" w:name="组合墙传到室内噪声级"/>
      <w:bookmarkEnd w:id="42"/>
    </w:p>
    <w:p/>
    <w:p>
      <w:pPr>
        <w:pStyle w:val="3"/>
        <w:ind w:firstLine="420" w:firstLineChars="200"/>
        <w:rPr>
          <w:b/>
          <w:lang w:val="en-US"/>
        </w:rPr>
      </w:pPr>
      <w:r>
        <w:rPr>
          <w:rFonts w:hint="eastAsia"/>
          <w:b/>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43" w:name="昼间室外传声"/>
      <w:r>
        <w:rPr>
          <w:rFonts w:hint="eastAsia"/>
          <w:b/>
          <w:lang w:val="en-US"/>
        </w:rPr>
        <w:t>32</w:t>
      </w:r>
      <w:bookmarkEnd w:id="43"/>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44" w:name="夜间室外传声"/>
      <w:r>
        <w:rPr>
          <w:rFonts w:hint="eastAsia"/>
          <w:b/>
          <w:lang w:val="en-US"/>
        </w:rPr>
        <w:t>22</w:t>
      </w:r>
      <w:bookmarkEnd w:id="44"/>
      <w:r>
        <w:rPr>
          <w:rFonts w:hint="eastAsia"/>
          <w:b/>
          <w:lang w:val="en-US"/>
        </w:rPr>
        <w:t xml:space="preserve"> </w:t>
      </w:r>
      <w:r>
        <w:rPr>
          <w:b/>
        </w:rPr>
        <w:t>dB</w:t>
      </w:r>
      <w:r>
        <w:rPr>
          <w:rFonts w:hint="eastAsia"/>
          <w:b/>
        </w:rPr>
        <w:t>（</w:t>
      </w:r>
      <w:r>
        <w:rPr>
          <w:b/>
        </w:rPr>
        <w:t>A</w:t>
      </w:r>
      <w:r>
        <w:rPr>
          <w:rFonts w:hint="eastAsia"/>
          <w:b/>
        </w:rPr>
        <w:t>）</w:t>
      </w:r>
    </w:p>
    <w:p>
      <w:pPr>
        <w:pStyle w:val="4"/>
      </w:pPr>
      <w:r>
        <w:rPr>
          <w:rFonts w:hint="eastAsia"/>
        </w:rPr>
        <w:t>室内声源的影响</w:t>
      </w:r>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7pt;width:15.6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室内声源噪声级(dB,A)</w:t>
            </w:r>
          </w:p>
        </w:tc>
        <w:tc>
          <w:tcPr>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w:t>
            </w:r>
          </w:p>
        </w:tc>
        <w:tc>
          <w:tcPr>
            <w:vAlign w:val="center"/>
          </w:tcPr>
          <w:p>
            <w:r>
              <w:t>--</w:t>
            </w:r>
          </w:p>
        </w:tc>
        <w:tc>
          <w:tcPr>
            <w:vAlign w:val="center"/>
          </w:tcPr>
          <w:p>
            <w:r>
              <w:t>--</w:t>
            </w:r>
          </w:p>
        </w:tc>
        <w:tc>
          <w:tcPr>
            <w:vAlign w:val="center"/>
          </w:tcPr>
          <w:p>
            <w:r>
              <w:t>--</w:t>
            </w:r>
          </w:p>
        </w:tc>
      </w:tr>
    </w:tbl>
    <w:p>
      <w:pPr>
        <w:jc w:val="center"/>
      </w:pPr>
      <w:bookmarkStart w:id="45" w:name="建筑内声源传声"/>
      <w:bookmarkEnd w:id="45"/>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r>
        <w:rPr>
          <w:rFonts w:hint="eastAsia"/>
        </w:rPr>
        <w:t>室内噪声级计算</w:t>
      </w:r>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7pt;width:15.6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7pt;width:26.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7pt;width:15.6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6"/>
        <w:gridCol w:w="707"/>
        <w:gridCol w:w="707"/>
        <w:gridCol w:w="2546"/>
        <w:gridCol w:w="2546"/>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普通会议室</w:t>
            </w:r>
          </w:p>
        </w:tc>
        <w:tc>
          <w:tcPr>
            <w:vAlign w:val="center"/>
          </w:tcPr>
          <w:p>
            <w:pPr>
              <w:jc w:val="center"/>
            </w:pPr>
            <w:r>
              <w:rPr>
                <w:b/>
              </w:rPr>
              <w:t>32</w:t>
            </w:r>
          </w:p>
        </w:tc>
        <w:tc>
          <w:tcPr>
            <w:vAlign w:val="center"/>
          </w:tcPr>
          <w:p>
            <w:pPr>
              <w:jc w:val="center"/>
            </w:pPr>
            <w:r>
              <w:rPr>
                <w:b/>
              </w:rPr>
              <w:t>22</w:t>
            </w:r>
          </w:p>
        </w:tc>
        <w:tc>
          <w:tcPr>
            <w:vAlign w:val="center"/>
          </w:tcPr>
          <w:p>
            <w:pPr>
              <w:jc w:val="center"/>
            </w:pPr>
            <w:r>
              <w:t>低限:≤45,高要求:≤40</w:t>
            </w:r>
          </w:p>
        </w:tc>
        <w:tc>
          <w:tcPr>
            <w:vAlign w:val="center"/>
          </w:tcPr>
          <w:p>
            <w:pPr>
              <w:jc w:val="center"/>
            </w:pPr>
            <w:r>
              <w:t>--</w:t>
            </w:r>
          </w:p>
        </w:tc>
        <w:tc>
          <w:tcPr>
            <w:vAlign w:val="center"/>
          </w:tcPr>
          <w:p>
            <w:r>
              <w:rPr>
                <w:b/>
              </w:rPr>
              <w:t>满足高要求</w:t>
            </w:r>
          </w:p>
        </w:tc>
      </w:tr>
    </w:tbl>
    <w:p>
      <w:pPr>
        <w:jc w:val="center"/>
      </w:pPr>
      <w:bookmarkStart w:id="46" w:name="最不利房间室内噪声级统计"/>
      <w:bookmarkEnd w:id="46"/>
    </w:p>
    <w:bookmarkEnd w:id="24"/>
    <w:bookmarkEnd w:id="25"/>
    <w:p>
      <w:pPr>
        <w:pStyle w:val="2"/>
        <w:rPr>
          <w:kern w:val="2"/>
        </w:rPr>
      </w:pPr>
      <w:r>
        <w:rPr>
          <w:rFonts w:hint="eastAsia"/>
          <w:kern w:val="2"/>
        </w:rPr>
        <w:t>结论</w:t>
      </w:r>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47" w:name="最不利房间编号"/>
      <w:r>
        <w:t>1018房间,房间类型[普通会议室]</w:t>
      </w:r>
      <w:bookmarkEnd w:id="47"/>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701" w:type="dxa"/>
            <w:vAlign w:val="center"/>
          </w:tcPr>
          <w:p>
            <w:pPr>
              <w:jc w:val="center"/>
            </w:pPr>
            <w:bookmarkStart w:id="48" w:name="室内噪声控制项结论"/>
            <w:r>
              <w:t>满足</w:t>
            </w:r>
            <w:bookmarkEnd w:id="48"/>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
                <w:sz w:val="18"/>
                <w:szCs w:val="18"/>
              </w:rPr>
            </w:pPr>
            <w:r>
              <w:rPr>
                <w:rFonts w:hint="eastAsia"/>
                <w:b/>
                <w:sz w:val="18"/>
                <w:szCs w:val="18"/>
              </w:rPr>
              <w:t>评分项：</w:t>
            </w:r>
          </w:p>
          <w:p>
            <w:pPr>
              <w:pStyle w:val="3"/>
              <w:rPr>
                <w:sz w:val="18"/>
                <w:szCs w:val="18"/>
              </w:rPr>
            </w:pPr>
            <w:r>
              <w:rPr>
                <w:sz w:val="18"/>
                <w:szCs w:val="18"/>
              </w:rPr>
              <w:t>5.2.6  主要功能房间</w:t>
            </w:r>
            <w:r>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pPr>
            <w:bookmarkStart w:id="49" w:name="室内噪声评分项结论"/>
            <w:r>
              <w:t>满足高要求</w:t>
            </w:r>
            <w:bookmarkEnd w:id="49"/>
          </w:p>
        </w:tc>
        <w:tc>
          <w:tcPr>
            <w:tcW w:w="724" w:type="dxa"/>
            <w:vAlign w:val="center"/>
          </w:tcPr>
          <w:p>
            <w:pPr>
              <w:jc w:val="center"/>
            </w:pPr>
            <w:bookmarkStart w:id="50" w:name="室内噪声得分"/>
            <w:r>
              <w:t>8</w:t>
            </w:r>
            <w:bookmarkEnd w:id="50"/>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3CB917F0"/>
    <w:rsid w:val="457F1866"/>
    <w:rsid w:val="53533258"/>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toc 2"/>
    <w:basedOn w:val="1"/>
    <w:next w:val="1"/>
    <w:semiHidden/>
    <w:qFormat/>
    <w:uiPriority w:val="0"/>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0"/>
    <w:rPr>
      <w:color w:val="0000FF"/>
      <w:u w:val="single"/>
    </w:rPr>
  </w:style>
  <w:style w:type="character" w:customStyle="1" w:styleId="25">
    <w:name w:val="正文文本缩进 Char2"/>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Char"/>
    <w:link w:val="4"/>
    <w:qFormat/>
    <w:uiPriority w:val="0"/>
    <w:rPr>
      <w:rFonts w:ascii="微软雅黑" w:hAnsi="微软雅黑" w:eastAsia="微软雅黑" w:cs="微软雅黑"/>
      <w:b/>
      <w:bCs/>
      <w:iCs/>
      <w:color w:val="000000"/>
      <w:sz w:val="24"/>
      <w:szCs w:val="24"/>
    </w:rPr>
  </w:style>
  <w:style w:type="character" w:customStyle="1" w:styleId="30">
    <w:name w:val="标题 1 Char"/>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Char"/>
    <w:basedOn w:val="22"/>
    <w:link w:val="15"/>
    <w:qFormat/>
    <w:uiPriority w:val="0"/>
    <w:rPr>
      <w:sz w:val="18"/>
      <w:szCs w:val="18"/>
      <w:lang w:val="en-GB"/>
    </w:rPr>
  </w:style>
  <w:style w:type="character" w:customStyle="1" w:styleId="33">
    <w:name w:val="Subtle Reference"/>
    <w:basedOn w:val="22"/>
    <w:qFormat/>
    <w:uiPriority w:val="31"/>
    <w:rPr>
      <w:smallCaps/>
      <w:color w:val="595959" w:themeColor="text1" w:themeTint="A5"/>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501D3-198A-437D-ADE8-A8492CA4515F}">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最不利房间室内噪声设计报告书_环评版.dotx</Template>
  <Company>ths</Company>
  <Pages>9</Pages>
  <Words>890</Words>
  <Characters>5077</Characters>
  <Lines>42</Lines>
  <Paragraphs>11</Paragraphs>
  <TotalTime>0</TotalTime>
  <ScaleCrop>false</ScaleCrop>
  <LinksUpToDate>false</LinksUpToDate>
  <CharactersWithSpaces>5956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2020-11-11T07:55:00Z</dcterms:created>
  <dc:creator>yzx</dc:creator>
  <cp:lastModifiedBy>王瑞龙</cp:lastModifiedBy>
  <cp:lastPrinted>1900-12-31T16:00:00Z</cp:lastPrinted>
  <dcterms:modified xsi:type="dcterms:W3CDTF">2021-12-16T00:33:37Z</dcterms:modified>
  <dc:title>最不利房间室内噪声设计报告书_环评版</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B1C1501D1C9442009E299BF866A00E96</vt:lpwstr>
  </property>
</Properties>
</file>