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三重“意”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绿色社区服务中心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山西-阳泉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  <w:lang w:val="en-US" w:eastAsia="zh-CN"/>
              </w:rPr>
              <w:t>BK40453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Start w:id="52" w:name="_GoBack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山西大学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2022年01月06日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绿建斯维尔室内热舒适评价ITES2020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20200808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T18295849382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"_Toc38892129"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_Toc38892129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"_Toc38892130"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_Toc38892130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"_Toc38892131"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_Toc38892131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"_Toc38892132"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_Toc38892132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"_Toc38892133"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_Toc38892133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"_Toc38892134"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_Toc38892134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"_Toc38892135"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_Toc38892135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"_Toc38892136"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_Toc38892136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"_Toc38892137"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_Toc38892137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"_Toc38892138"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_Toc38892138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"_Toc38892139"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_Toc38892139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"_Toc38892140"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_Toc38892140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"_Toc38892141"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_Toc38892141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"_Toc38892142"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_Toc38892142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"_Toc38892143"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_Toc38892143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"_Toc38892144"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_Toc38892144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spacing w:line="240" w:lineRule="auto"/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10"/>
    </w:p>
    <w:p>
      <w:pPr>
        <w:pStyle w:val="2"/>
      </w:pPr>
      <w:bookmarkStart w:id="11" w:name="_Toc452108759"/>
      <w:bookmarkStart w:id="12" w:name="_Toc3889212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3889213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76866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591175" cy="80105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2674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3889213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452108762"/>
      <w:bookmarkStart w:id="22" w:name="_Toc3889213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《绿色建筑评价标准》GB/T 50378</w:t>
      </w:r>
      <w:r>
        <w:rPr>
          <w:lang w:val="en-US"/>
        </w:rPr>
        <w:t>-2019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38892133"/>
      <w:r>
        <w:rPr>
          <w:rFonts w:hint="eastAsia"/>
        </w:rPr>
        <w:t>参考</w:t>
      </w:r>
      <w:r>
        <w:t>标准</w:t>
      </w:r>
      <w:bookmarkEnd w:id="23"/>
      <w:bookmarkEnd w:id="26"/>
    </w:p>
    <w:p>
      <w:pPr>
        <w:pStyle w:val="3"/>
        <w:ind w:firstLine="420"/>
        <w:rPr>
          <w:lang w:val="en-US"/>
        </w:rPr>
      </w:pPr>
      <w:bookmarkStart w:id="27" w:name="_Toc452108764"/>
      <w:bookmarkStart w:id="28" w:name="_Toc451698935"/>
      <w:r>
        <w:rPr>
          <w:rFonts w:hint="eastAsia"/>
          <w:lang w:val="en-US"/>
        </w:rPr>
        <w:t>室内热舒适评价的主要依据为《绿色建筑评价标准》GB/T 50378-2019中有关室内热湿环境5.2.9条第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29" w:name="_Toc38892134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2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0" w:name="_Toc38892135"/>
      <w:r>
        <w:rPr>
          <w:rFonts w:hint="eastAsia"/>
        </w:rPr>
        <w:t>参数定义</w:t>
      </w:r>
      <w:bookmarkEnd w:id="30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1" w:name="_Toc38892136"/>
      <w:r>
        <w:rPr>
          <w:rFonts w:hint="eastAsia"/>
        </w:rPr>
        <w:t>计算流程</w:t>
      </w:r>
      <w:bookmarkEnd w:id="31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3" w:name="_Toc38892137"/>
      <w:r>
        <w:rPr>
          <w:rFonts w:hint="eastAsia"/>
        </w:rPr>
        <w:t>计算参数</w:t>
      </w:r>
      <w:bookmarkEnd w:id="33"/>
    </w:p>
    <w:p>
      <w:pPr>
        <w:pStyle w:val="5"/>
      </w:pPr>
      <w:bookmarkStart w:id="34" w:name="_Toc38892138"/>
      <w:r>
        <w:rPr>
          <w:rFonts w:hint="eastAsia"/>
        </w:rPr>
        <w:t>室外月平均温度</w:t>
      </w:r>
      <w:bookmarkEnd w:id="34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5" w:name="站台城市"/>
      <w:r>
        <w:rPr>
          <w:rFonts w:hint="eastAsia" w:ascii="Calibri" w:hAnsi="Calibri"/>
          <w:kern w:val="2"/>
          <w:lang w:val="en-US"/>
        </w:rPr>
        <w:t>太原</w:t>
      </w:r>
      <w:bookmarkEnd w:id="35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6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7" w:name="_Toc38892139"/>
      <w:r>
        <w:rPr>
          <w:rFonts w:hint="eastAsia"/>
        </w:rPr>
        <w:t>室内热舒适温度</w:t>
      </w:r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8" w:name="室内热舒适温度表"/>
            <w:r>
              <w:rPr>
                <w:rFonts w:hint="eastAsia"/>
              </w:rPr>
              <w:t>室外月平均温度</w:t>
            </w:r>
            <w:bookmarkEnd w:id="38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</w:tbl>
    <w:p>
      <w:pPr>
        <w:pStyle w:val="5"/>
      </w:pPr>
      <w:r>
        <w:rPr>
          <w:rFonts w:hint="eastAsia"/>
        </w:rPr>
        <w:t>参评时间</w:t>
      </w:r>
      <w:r>
        <w:t>段</w:t>
      </w:r>
    </w:p>
    <w:p>
      <w:pPr>
        <w:pStyle w:val="3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6月1日至10月1日；11月1日至12月1日。</w:t>
      </w:r>
      <w:bookmarkEnd w:id="39"/>
    </w:p>
    <w:p>
      <w:pPr>
        <w:pStyle w:val="5"/>
      </w:pPr>
      <w:bookmarkStart w:id="40" w:name="_Toc38892140"/>
      <w:r>
        <w:rPr>
          <w:rFonts w:hint="eastAsia"/>
        </w:rPr>
        <w:t>围护结构热工性能参数</w:t>
      </w:r>
      <w:bookmarkEnd w:id="40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2"/>
      <w:bookmarkEnd w:id="3"/>
      <w:bookmarkEnd w:id="5"/>
      <w:bookmarkEnd w:id="6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1" w:name="围护结构"/>
      <w:r>
        <w:rPr>
          <w:rFonts w:hint="eastAsia"/>
        </w:rPr>
        <w:t xml:space="preserve"> </w:t>
      </w:r>
      <w:bookmarkEnd w:id="41"/>
    </w:p>
    <w:p>
      <w:pPr>
        <w:pStyle w:val="5"/>
      </w:pPr>
      <w:r>
        <w:rPr>
          <w:rFonts w:hint="eastAsia"/>
        </w:rPr>
        <w:t>房间类型参数</w:t>
      </w:r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宾馆-2星级多功能厅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  <w:bookmarkEnd w:id="1"/>
    </w:p>
    <w:p>
      <w:pPr>
        <w:pStyle w:val="3"/>
        <w:ind w:firstLine="0" w:firstLineChars="0"/>
        <w:rPr>
          <w:b/>
          <w:lang w:val="en-US"/>
        </w:rPr>
      </w:pPr>
      <w:bookmarkStart w:id="42" w:name="房间类型"/>
      <w:bookmarkEnd w:id="42"/>
    </w:p>
    <w:p>
      <w:pPr>
        <w:pStyle w:val="2"/>
      </w:pPr>
      <w:bookmarkStart w:id="43" w:name="_Toc38892141"/>
      <w:bookmarkStart w:id="44" w:name="_Toc452108768"/>
      <w:bookmarkStart w:id="45" w:name="_Toc3745"/>
      <w:r>
        <w:rPr>
          <w:rFonts w:hint="eastAsia"/>
        </w:rPr>
        <w:t>结果</w:t>
      </w:r>
      <w:r>
        <w:t>分析</w:t>
      </w:r>
      <w:bookmarkEnd w:id="43"/>
      <w:bookmarkEnd w:id="44"/>
      <w:bookmarkEnd w:id="45"/>
    </w:p>
    <w:p>
      <w:pPr>
        <w:pStyle w:val="4"/>
      </w:pPr>
      <w:bookmarkStart w:id="46" w:name="_Toc38892142"/>
      <w:r>
        <w:rPr>
          <w:rFonts w:hint="eastAsia"/>
        </w:rPr>
        <w:t>室内适应性热舒适温度达标比例统计</w:t>
      </w:r>
      <w:bookmarkEnd w:id="46"/>
      <w:bookmarkStart w:id="47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206.7</w:t>
            </w:r>
          </w:p>
        </w:tc>
        <w:tc>
          <w:tcPr>
            <w:vAlign w:val="center"/>
          </w:tcPr>
          <w:p>
            <w:r>
              <w:t>58.50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宾馆-2星级多功能厅</w:t>
            </w:r>
          </w:p>
        </w:tc>
        <w:tc>
          <w:tcPr>
            <w:vAlign w:val="center"/>
          </w:tcPr>
          <w:p>
            <w:r>
              <w:t>158.1</w:t>
            </w:r>
          </w:p>
        </w:tc>
        <w:tc>
          <w:tcPr>
            <w:vAlign w:val="center"/>
          </w:tcPr>
          <w:p>
            <w:r>
              <w:t>60.34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144.4</w:t>
            </w:r>
          </w:p>
        </w:tc>
        <w:tc>
          <w:tcPr>
            <w:vAlign w:val="center"/>
          </w:tcPr>
          <w:p>
            <w:r>
              <w:t>59.82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宾馆-2星级多功能厅</w:t>
            </w:r>
          </w:p>
        </w:tc>
        <w:tc>
          <w:tcPr>
            <w:vAlign w:val="center"/>
          </w:tcPr>
          <w:p>
            <w:r>
              <w:t>139.7</w:t>
            </w:r>
          </w:p>
        </w:tc>
        <w:tc>
          <w:tcPr>
            <w:vAlign w:val="center"/>
          </w:tcPr>
          <w:p>
            <w:r>
              <w:t>58.33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112.0</w:t>
            </w:r>
          </w:p>
        </w:tc>
        <w:tc>
          <w:tcPr>
            <w:vAlign w:val="center"/>
          </w:tcPr>
          <w:p>
            <w:r>
              <w:t>53.54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64.1</w:t>
            </w:r>
          </w:p>
        </w:tc>
        <w:tc>
          <w:tcPr>
            <w:vAlign w:val="center"/>
          </w:tcPr>
          <w:p>
            <w:r>
              <w:t>52.52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53.79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133.3</w:t>
            </w:r>
          </w:p>
        </w:tc>
        <w:tc>
          <w:tcPr>
            <w:vAlign w:val="center"/>
          </w:tcPr>
          <w:p>
            <w:r>
              <w:t>50.95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77.6</w:t>
            </w:r>
          </w:p>
        </w:tc>
        <w:tc>
          <w:tcPr>
            <w:vAlign w:val="center"/>
          </w:tcPr>
          <w:p>
            <w:r>
              <w:t>50.92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52.8</w:t>
            </w:r>
          </w:p>
        </w:tc>
        <w:tc>
          <w:tcPr>
            <w:vAlign w:val="center"/>
          </w:tcPr>
          <w:p>
            <w:r>
              <w:t>52.03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24.0</w:t>
            </w:r>
          </w:p>
        </w:tc>
        <w:tc>
          <w:tcPr>
            <w:vAlign w:val="center"/>
          </w:tcPr>
          <w:p>
            <w:r>
              <w:t>53.14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130.6</w:t>
            </w:r>
          </w:p>
        </w:tc>
        <w:tc>
          <w:tcPr>
            <w:vAlign w:val="center"/>
          </w:tcPr>
          <w:p>
            <w:r>
              <w:t>46.92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50.81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20.5</w:t>
            </w:r>
          </w:p>
        </w:tc>
        <w:tc>
          <w:tcPr>
            <w:vAlign w:val="center"/>
          </w:tcPr>
          <w:p>
            <w:r>
              <w:t>51.19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50.03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2022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20.5</w:t>
            </w:r>
          </w:p>
        </w:tc>
        <w:tc>
          <w:tcPr>
            <w:vAlign w:val="center"/>
          </w:tcPr>
          <w:p>
            <w:r>
              <w:t>49.95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24.0</w:t>
            </w:r>
          </w:p>
        </w:tc>
        <w:tc>
          <w:tcPr>
            <w:vAlign w:val="center"/>
          </w:tcPr>
          <w:p>
            <w:r>
              <w:t>50.27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53.63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6.2</w:t>
            </w:r>
          </w:p>
        </w:tc>
        <w:tc>
          <w:tcPr>
            <w:vAlign w:val="center"/>
          </w:tcPr>
          <w:p>
            <w:r>
              <w:t>53.90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2030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74.6</w:t>
            </w:r>
          </w:p>
        </w:tc>
        <w:tc>
          <w:tcPr>
            <w:vAlign w:val="center"/>
          </w:tcPr>
          <w:p>
            <w:r>
              <w:t>52.25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2032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64.0</w:t>
            </w:r>
          </w:p>
        </w:tc>
        <w:tc>
          <w:tcPr>
            <w:vAlign w:val="center"/>
          </w:tcPr>
          <w:p>
            <w:r>
              <w:t>52.30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54.37%</w:t>
            </w:r>
          </w:p>
        </w:tc>
      </w:tr>
      <w:bookmarkEnd w:id="47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48" w:name="达标比例统计表"/>
      <w:bookmarkEnd w:id="48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49" w:name="_Toc38892143"/>
      <w:r>
        <w:rPr>
          <w:rFonts w:hint="eastAsia"/>
        </w:rPr>
        <w:t>结论</w:t>
      </w:r>
      <w:bookmarkEnd w:id="49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0" w:name="达标百分比"/>
      <w:r>
        <w:rPr>
          <w:rFonts w:hint="eastAsia"/>
          <w:lang w:val="en-US"/>
        </w:rPr>
        <w:t>54.37%</w:t>
      </w:r>
      <w:bookmarkEnd w:id="50"/>
      <w:r>
        <w:rPr>
          <w:rFonts w:hint="eastAsia"/>
          <w:lang w:val="en-US"/>
        </w:rPr>
        <w:t>，根据绿标5.2.9的第1条，应得</w:t>
      </w:r>
      <w:bookmarkStart w:id="51" w:name="得分"/>
      <w:r>
        <w:rPr>
          <w:rFonts w:hint="eastAsia"/>
          <w:lang w:val="en-US"/>
        </w:rPr>
        <w:t>4</w:t>
      </w:r>
      <w:bookmarkEnd w:id="51"/>
      <w:r>
        <w:rPr>
          <w:rFonts w:hint="eastAsia"/>
          <w:lang w:val="en-US"/>
        </w:rPr>
        <w:t>分。</w:t>
      </w:r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20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610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Char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9C396-F3E1-445D-96EE-7631C1468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Company>ths</Company>
  <Pages>9</Pages>
  <Words>474</Words>
  <Characters>2703</Characters>
  <Lines>22</Lines>
  <Paragraphs>6</Paragraphs>
  <TotalTime>1</TotalTime>
  <ScaleCrop>false</ScaleCrop>
  <LinksUpToDate>false</LinksUpToDate>
  <CharactersWithSpaces>3171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2020-07-28T03:10:00Z</dcterms:created>
  <dc:creator>wbw</dc:creator>
  <cp:lastModifiedBy>王瑞龙</cp:lastModifiedBy>
  <cp:lastPrinted>1900-12-31T16:00:00Z</cp:lastPrinted>
  <dcterms:modified xsi:type="dcterms:W3CDTF">2022-01-06T04:59:29Z</dcterms:modified>
  <dc:title>室内热舒适预计达标比例报告书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3FC3300F643D4B13B1935AE2A08F9B20</vt:lpwstr>
  </property>
</Properties>
</file>