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s="宋体"/>
          <w:b/>
          <w:bCs/>
          <w:color w:val="000000"/>
          <w:sz w:val="60"/>
          <w:szCs w:val="60"/>
        </w:rPr>
      </w:pPr>
    </w:p>
    <w:p>
      <w:pPr>
        <w:jc w:val="center"/>
        <w:rPr>
          <w:rFonts w:hint="eastAsia" w:cs="宋体"/>
          <w:b/>
          <w:bCs/>
          <w:color w:val="000000"/>
          <w:sz w:val="60"/>
          <w:szCs w:val="60"/>
        </w:rPr>
      </w:pPr>
      <w:r>
        <w:rPr>
          <w:rFonts w:hint="eastAsia" w:cs="宋体"/>
          <w:b/>
          <w:bCs/>
          <w:color w:val="000000"/>
          <w:sz w:val="60"/>
          <w:szCs w:val="60"/>
        </w:rPr>
        <w:t>建设项目日照分析报告</w:t>
      </w:r>
    </w:p>
    <w:p>
      <w:pPr>
        <w:jc w:val="center"/>
        <w:rPr>
          <w:rFonts w:hint="eastAsia" w:cs="宋体"/>
          <w:b/>
          <w:bCs/>
          <w:color w:val="000000"/>
          <w:sz w:val="60"/>
          <w:szCs w:val="60"/>
        </w:rPr>
      </w:pPr>
    </w:p>
    <w:p>
      <w:pPr>
        <w:jc w:val="center"/>
        <w:rPr>
          <w:rFonts w:hint="eastAsia" w:cs="宋体"/>
          <w:b/>
          <w:bCs/>
          <w:color w:val="000000"/>
          <w:sz w:val="60"/>
          <w:szCs w:val="60"/>
        </w:rPr>
      </w:pPr>
    </w:p>
    <w:p>
      <w:pPr>
        <w:jc w:val="center"/>
        <w:rPr>
          <w:rFonts w:hint="eastAsia" w:cs="宋体"/>
          <w:b/>
          <w:bCs/>
          <w:color w:val="000000"/>
          <w:sz w:val="60"/>
          <w:szCs w:val="60"/>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r>
        <w:rPr>
          <w:rFonts w:hint="eastAsia" w:ascii="宋体" w:hAnsi="宋体"/>
          <w:szCs w:val="21"/>
          <w:lang w:val="en-US" w:eastAsia="zh-CN"/>
        </w:rPr>
        <w:t>三重“意”——绿色社区服务中心</w:t>
      </w:r>
      <w:r>
        <w:rPr>
          <w:rFonts w:cs="宋体"/>
          <w:b/>
          <w:bCs/>
          <w:color w:val="000000"/>
          <w:sz w:val="32"/>
          <w:szCs w:val="32"/>
          <w:u w:val="single"/>
        </w:rPr>
        <w:t xml:space="preserve">                             </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hint="eastAsia"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0" w:name="建设单位"/>
      <w:bookmarkEnd w:id="0"/>
      <w:r>
        <w:rPr>
          <w:rFonts w:cs="宋体"/>
          <w:b/>
          <w:bCs/>
          <w:color w:val="000000"/>
          <w:sz w:val="32"/>
          <w:szCs w:val="32"/>
          <w:u w:val="single"/>
        </w:rPr>
        <w:t xml:space="preserve">                             </w:t>
      </w:r>
      <w:r>
        <w:rPr>
          <w:rFonts w:hint="eastAsia" w:cs="宋体"/>
          <w:b/>
          <w:bCs/>
          <w:color w:val="000000"/>
          <w:sz w:val="32"/>
          <w:szCs w:val="32"/>
        </w:rPr>
        <w:t>（章）</w:t>
      </w: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1" w:name="设计单位"/>
      <w:r>
        <w:t>山西大学</w:t>
      </w:r>
      <w:bookmarkEnd w:id="1"/>
      <w:r>
        <w:rPr>
          <w:rFonts w:cs="宋体"/>
          <w:b/>
          <w:bCs/>
          <w:color w:val="000000"/>
          <w:sz w:val="32"/>
          <w:szCs w:val="32"/>
          <w:u w:val="single"/>
        </w:rPr>
        <w:t xml:space="preserve">                             </w:t>
      </w:r>
      <w:r>
        <w:rPr>
          <w:rFonts w:hint="eastAsia" w:cs="宋体"/>
          <w:b/>
          <w:bCs/>
          <w:color w:val="000000"/>
          <w:sz w:val="32"/>
          <w:szCs w:val="32"/>
        </w:rPr>
        <w:t>（章）</w:t>
      </w: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2" w:name="报告日期"/>
      <w:r>
        <w:t>2021年11月30日</w:t>
      </w:r>
      <w:bookmarkEnd w:id="2"/>
    </w:p>
    <w:p>
      <w:pPr>
        <w:jc w:val="center"/>
        <w:rPr>
          <w:rFonts w:hint="eastAsia" w:cs="宋体"/>
          <w:b/>
          <w:bCs/>
          <w:color w:val="000000"/>
          <w:sz w:val="32"/>
          <w:szCs w:val="32"/>
        </w:rPr>
      </w:pPr>
    </w:p>
    <w:p>
      <w:pPr>
        <w:jc w:val="center"/>
        <w:rPr>
          <w:rFonts w:hint="eastAsia" w:cs="宋体"/>
          <w:b/>
          <w:bCs/>
          <w:color w:val="000000"/>
          <w:sz w:val="32"/>
          <w:szCs w:val="32"/>
        </w:rPr>
      </w:pPr>
    </w:p>
    <w:p>
      <w:pPr>
        <w:rPr>
          <w:rFonts w:hint="eastAsia" w:cs="宋体"/>
          <w:b/>
          <w:bCs/>
          <w:color w:val="000000"/>
          <w:sz w:val="32"/>
          <w:szCs w:val="32"/>
        </w:rPr>
      </w:pPr>
      <w:r>
        <w:rPr>
          <w:rFonts w:cs="宋体"/>
          <w:b/>
          <w:bCs/>
          <w:color w:val="000000"/>
          <w:sz w:val="32"/>
          <w:szCs w:val="32"/>
          <w:u w:val="single"/>
        </w:rPr>
        <w:t xml:space="preserve">      </w:t>
      </w:r>
      <w:r>
        <w:rPr>
          <w:rFonts w:hint="eastAsia" w:ascii="宋体" w:hAnsi="宋体"/>
          <w:szCs w:val="21"/>
          <w:lang w:val="en-US" w:eastAsia="zh-CN"/>
        </w:rPr>
        <w:t>三重“意”——绿色社区服务中心</w:t>
      </w:r>
      <w:r>
        <w:rPr>
          <w:rFonts w:cs="宋体"/>
          <w:b/>
          <w:bCs/>
          <w:color w:val="000000"/>
          <w:sz w:val="32"/>
          <w:szCs w:val="32"/>
          <w:u w:val="single"/>
        </w:rPr>
        <w:t xml:space="preserve">           </w:t>
      </w:r>
      <w:r>
        <w:rPr>
          <w:rFonts w:hint="eastAsia" w:cs="宋体"/>
          <w:b/>
          <w:bCs/>
          <w:color w:val="000000"/>
          <w:sz w:val="32"/>
          <w:szCs w:val="32"/>
        </w:rPr>
        <w:t>日照分析报告</w:t>
      </w:r>
    </w:p>
    <w:p>
      <w:pPr>
        <w:rPr>
          <w:rFonts w:hint="eastAsia" w:ascii="宋体" w:hAnsi="宋体" w:cs="宋体"/>
          <w:b/>
          <w:bCs/>
          <w:color w:val="000000"/>
          <w:sz w:val="24"/>
          <w:szCs w:val="32"/>
        </w:rPr>
      </w:pPr>
    </w:p>
    <w:p>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3" w:name="建设单位1"/>
      <w:bookmarkEnd w:id="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4" w:name="建设单位地址"/>
      <w:bookmarkEnd w:id="4"/>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5" w:name="建设单位邮编"/>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6" w:name="建设单位法人"/>
      <w:bookmarkEnd w:id="6"/>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7" w:name="建设单位联系人"/>
      <w:bookmarkEnd w:id="7"/>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8" w:name="建设单位电话"/>
      <w:bookmarkEnd w:id="8"/>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9" w:name="设计单位1"/>
      <w:r>
        <w:t>山西大学</w:t>
      </w:r>
      <w:bookmarkEnd w:id="9"/>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0" w:name="设计单位地址"/>
      <w:bookmarkEnd w:id="10"/>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1" w:name="设计单位邮编"/>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2" w:name="设计单位法人"/>
      <w:bookmarkEnd w:id="12"/>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3" w:name="设计单位联系人"/>
      <w:bookmarkEnd w:id="13"/>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4" w:name="设计单位电话"/>
      <w:bookmarkEnd w:id="14"/>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5" w:name="设计单位资质"/>
      <w:bookmarkEnd w:id="15"/>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6" w:name="设计单位2"/>
      <w:r>
        <w:t>山西大学</w:t>
      </w:r>
      <w:bookmarkEnd w:id="16"/>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7" w:name="建筑名称"/>
      <w:bookmarkEnd w:id="17"/>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18" w:name="CLIENT_NAME"/>
      <w:bookmarkEnd w:id="18"/>
      <w:r>
        <w:rPr>
          <w:rFonts w:ascii="宋体" w:hAnsi="宋体" w:cs="宋体"/>
          <w:bCs/>
          <w:color w:val="000000"/>
          <w:sz w:val="24"/>
          <w:szCs w:val="32"/>
        </w:rPr>
        <w:t>（详附图一）的日照影响，委托我公司进行分析。</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pPr>
        <w:spacing w:line="400" w:lineRule="auto"/>
        <w:ind w:firstLine="465"/>
        <w:rPr>
          <w:rFonts w:hint="eastAsia" w:ascii="宋体" w:hAnsi="宋体" w:cs="宋体"/>
          <w:bCs/>
          <w:color w:val="000000"/>
          <w:sz w:val="24"/>
          <w:szCs w:val="32"/>
        </w:rPr>
      </w:pPr>
      <w:r>
        <w:rPr>
          <w:rFonts w:ascii="宋体" w:hAnsi="宋体" w:cs="宋体"/>
          <w:bCs/>
          <w:color w:val="000000"/>
          <w:sz w:val="24"/>
          <w:szCs w:val="32"/>
        </w:rPr>
        <w:t>用地范围：</w:t>
      </w:r>
    </w:p>
    <w:p>
      <w:pPr>
        <w:spacing w:line="360" w:lineRule="auto"/>
        <w:ind w:firstLine="480" w:firstLineChars="200"/>
        <w:rPr>
          <w:rFonts w:ascii="宋体" w:hAnsi="宋体"/>
          <w:sz w:val="24"/>
        </w:rPr>
      </w:pPr>
      <w:r>
        <w:rPr>
          <w:rFonts w:hint="eastAsia" w:ascii="宋体" w:hAnsi="宋体"/>
          <w:sz w:val="24"/>
        </w:rPr>
        <w:t>建设基地周边电子地形图（详见附图   ）。</w:t>
      </w:r>
    </w:p>
    <w:p>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pPr>
        <w:spacing w:line="440" w:lineRule="exact"/>
        <w:rPr>
          <w:rFonts w:hint="eastAsia"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19" w:name="NEW_TABLE"/>
      <w:bookmarkEnd w:id="19"/>
    </w:p>
    <w:p>
      <w:r>
        <w:rPr>
          <w:color w:val="000000"/>
          <w:lang w:val="zh-CN"/>
        </w:rPr>
        <w:t>基地内拟建建筑</w:t>
      </w:r>
    </w:p>
    <w:tbl>
      <w:tblPr>
        <w:tblStyle w:val="5"/>
        <w:tblW w:w="856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4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编号</w:t>
            </w:r>
          </w:p>
        </w:tc>
        <w:tc>
          <w:tcPr>
            <w:vAlign w:val="center"/>
          </w:tcPr>
          <w:p>
            <w:pPr>
              <w:jc w:val="center"/>
            </w:pPr>
            <w:r>
              <w:t>使用性质</w:t>
            </w:r>
          </w:p>
        </w:tc>
        <w:tc>
          <w:tcPr>
            <w:vAlign w:val="center"/>
          </w:tcPr>
          <w:p>
            <w:pPr>
              <w:jc w:val="center"/>
            </w:pPr>
            <w:r>
              <w:t>层数</w:t>
            </w:r>
          </w:p>
        </w:tc>
        <w:tc>
          <w:tcPr>
            <w:vAlign w:val="center"/>
          </w:tcPr>
          <w:p>
            <w:pPr>
              <w:jc w:val="center"/>
            </w:pPr>
            <w:r>
              <w:t>建筑高度(米)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社区服务中心</w:t>
            </w:r>
          </w:p>
        </w:tc>
        <w:tc>
          <w:tcPr>
            <w:vAlign w:val="center"/>
          </w:tcPr>
          <w:p>
            <w:pPr>
              <w:jc w:val="center"/>
              <w:rPr>
                <w:rFonts w:hint="default" w:eastAsia="宋体"/>
                <w:lang w:val="en-US" w:eastAsia="zh-CN"/>
              </w:rPr>
            </w:pPr>
            <w:r>
              <w:rPr>
                <w:rFonts w:hint="eastAsia"/>
                <w:lang w:val="en-US" w:eastAsia="zh-CN"/>
              </w:rPr>
              <w:t>公共建筑</w:t>
            </w:r>
          </w:p>
        </w:tc>
        <w:tc>
          <w:tcPr>
            <w:vAlign w:val="center"/>
          </w:tcPr>
          <w:p>
            <w:pPr>
              <w:jc w:val="center"/>
              <w:rPr>
                <w:rFonts w:hint="eastAsia" w:eastAsia="宋体"/>
                <w:lang w:val="en-US" w:eastAsia="zh-CN"/>
              </w:rPr>
            </w:pPr>
            <w:r>
              <w:rPr>
                <w:rFonts w:hint="eastAsia"/>
                <w:lang w:val="en-US" w:eastAsia="zh-CN"/>
              </w:rPr>
              <w:t>2</w:t>
            </w:r>
          </w:p>
        </w:tc>
        <w:tc>
          <w:tcPr>
            <w:vAlign w:val="center"/>
          </w:tcPr>
          <w:p>
            <w:pPr>
              <w:jc w:val="center"/>
            </w:pPr>
            <w:r>
              <w:rPr>
                <w:rFonts w:hint="eastAsia"/>
                <w:lang w:val="en-US" w:eastAsia="zh-CN"/>
              </w:rPr>
              <w:t>11</w:t>
            </w:r>
            <w:r>
              <w:t>.4</w:t>
            </w:r>
          </w:p>
        </w:tc>
      </w:tr>
    </w:tbl>
    <w:p/>
    <w:p>
      <w:pPr>
        <w:spacing w:line="440" w:lineRule="exact"/>
        <w:rPr>
          <w:rFonts w:hint="eastAsia" w:ascii="宋体" w:hAnsi="宋体" w:cs="宋体"/>
          <w:b/>
          <w:bCs/>
          <w:color w:val="000000"/>
          <w:sz w:val="24"/>
          <w:szCs w:val="32"/>
        </w:rPr>
      </w:pPr>
      <w:bookmarkStart w:id="20" w:name="基地内拟建建筑"/>
      <w:bookmarkEnd w:id="20"/>
    </w:p>
    <w:p>
      <w:pPr>
        <w:spacing w:line="440" w:lineRule="exact"/>
        <w:rPr>
          <w:rFonts w:hint="eastAsia"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1" w:name="CLIENT_TABLE"/>
      <w:bookmarkEnd w:id="21"/>
    </w:p>
    <w:p>
      <w:pPr>
        <w:spacing w:line="440" w:lineRule="exact"/>
        <w:rPr>
          <w:rFonts w:hint="eastAsia"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2" w:name="基地外阴影分析范围内的客体建筑"/>
      <w:bookmarkEnd w:id="22"/>
    </w:p>
    <w:p>
      <w:pPr>
        <w:spacing w:line="440" w:lineRule="exact"/>
        <w:rPr>
          <w:rFonts w:hint="eastAsia"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3" w:name="OLD_TABLE"/>
      <w:bookmarkEnd w:id="23"/>
    </w:p>
    <w:p>
      <w:pPr>
        <w:spacing w:line="440" w:lineRule="exact"/>
        <w:rPr>
          <w:rFonts w:hint="eastAsia"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4" w:name="基地外参与叠加分析的主体建筑"/>
      <w:bookmarkEnd w:id="24"/>
    </w:p>
    <w:p>
      <w:pPr>
        <w:spacing w:line="440" w:lineRule="exact"/>
        <w:rPr>
          <w:rFonts w:hint="eastAsia" w:ascii="宋体" w:hAnsi="宋体" w:cs="宋体"/>
          <w:b/>
          <w:bCs/>
          <w:color w:val="000000"/>
          <w:sz w:val="24"/>
          <w:szCs w:val="32"/>
        </w:rPr>
      </w:pPr>
    </w:p>
    <w:p>
      <w:pPr>
        <w:spacing w:line="440" w:lineRule="exact"/>
        <w:rPr>
          <w:rFonts w:hint="eastAsia" w:ascii="宋体" w:hAnsi="宋体" w:cs="宋体"/>
          <w:bCs/>
          <w:color w:val="000000"/>
          <w:sz w:val="24"/>
          <w:szCs w:val="32"/>
        </w:rPr>
      </w:pPr>
      <w:r>
        <w:rPr>
          <w:rFonts w:hint="eastAsia" w:ascii="宋体" w:hAnsi="宋体" w:cs="宋体"/>
          <w:bCs/>
          <w:color w:val="000000"/>
          <w:sz w:val="24"/>
          <w:szCs w:val="32"/>
        </w:rPr>
        <w:t>注：</w:t>
      </w:r>
    </w:p>
    <w:p>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pPr>
        <w:spacing w:line="440" w:lineRule="exact"/>
        <w:rPr>
          <w:rFonts w:hint="eastAsia" w:ascii="黑体" w:hAnsi="宋体" w:eastAsia="黑体" w:cs="宋体"/>
          <w:b/>
          <w:bCs/>
          <w:sz w:val="24"/>
          <w:szCs w:val="24"/>
        </w:rPr>
      </w:pPr>
      <w:r>
        <w:rPr>
          <w:rFonts w:hint="eastAsia" w:ascii="黑体" w:hAnsi="宋体" w:eastAsia="黑体"/>
          <w:sz w:val="24"/>
          <w:szCs w:val="24"/>
        </w:rPr>
        <w:t>4.1 《城市居住区规划设计规范》（GBJ50180－93）的条文（2002版）</w:t>
      </w:r>
    </w:p>
    <w:p>
      <w:pPr>
        <w:spacing w:line="440" w:lineRule="exact"/>
        <w:ind w:firstLine="105" w:firstLineChars="50"/>
        <w:rPr>
          <w:rFonts w:ascii="宋体" w:hAnsi="宋体"/>
        </w:rPr>
      </w:pPr>
      <w:r>
        <w:rPr>
          <w:rFonts w:hint="eastAsia" w:ascii="宋体" w:hAnsi="宋体"/>
          <w:b/>
        </w:rPr>
        <w:t>5.0.2.1</w:t>
      </w:r>
      <w:r>
        <w:rPr>
          <w:rFonts w:hint="eastAsia" w:ascii="宋体" w:hAnsi="宋体"/>
        </w:rPr>
        <w:t>住宅日照标准应符合表5.0.2-1规定，对于特定情况还应符合下列规定：</w:t>
      </w:r>
    </w:p>
    <w:p>
      <w:pPr>
        <w:numPr>
          <w:ilvl w:val="0"/>
          <w:numId w:val="1"/>
        </w:numPr>
        <w:tabs>
          <w:tab w:val="left" w:pos="567"/>
          <w:tab w:val="clear" w:pos="720"/>
        </w:tabs>
        <w:spacing w:line="440" w:lineRule="exact"/>
        <w:ind w:left="567" w:hanging="567"/>
        <w:rPr>
          <w:rFonts w:ascii="宋体" w:hAnsi="宋体"/>
        </w:rPr>
      </w:pPr>
      <w:r>
        <w:rPr>
          <w:rFonts w:hint="eastAsia" w:ascii="宋体" w:hAnsi="宋体"/>
        </w:rPr>
        <w:t>老年人居住的建筑不应低于冬至日日照2小时的标准。</w:t>
      </w:r>
    </w:p>
    <w:p>
      <w:pPr>
        <w:numPr>
          <w:ilvl w:val="0"/>
          <w:numId w:val="1"/>
        </w:numPr>
        <w:tabs>
          <w:tab w:val="left" w:pos="567"/>
          <w:tab w:val="clear" w:pos="720"/>
        </w:tabs>
        <w:spacing w:line="440" w:lineRule="exact"/>
        <w:ind w:left="567" w:hanging="567"/>
        <w:rPr>
          <w:rFonts w:ascii="宋体" w:hAnsi="宋体"/>
        </w:rPr>
      </w:pPr>
      <w:r>
        <w:rPr>
          <w:rFonts w:hint="eastAsia" w:ascii="宋体" w:hAnsi="宋体"/>
        </w:rPr>
        <w:t>在原设计建筑外增加任何设施不应使相邻住宅原有日照的标准降低。</w:t>
      </w:r>
    </w:p>
    <w:p>
      <w:pPr>
        <w:numPr>
          <w:ilvl w:val="0"/>
          <w:numId w:val="1"/>
        </w:numPr>
        <w:tabs>
          <w:tab w:val="left" w:pos="567"/>
          <w:tab w:val="clear" w:pos="720"/>
        </w:tabs>
        <w:spacing w:line="440" w:lineRule="exact"/>
        <w:ind w:left="567" w:hanging="567"/>
        <w:rPr>
          <w:rFonts w:ascii="宋体" w:hAnsi="宋体"/>
        </w:rPr>
      </w:pPr>
      <w:r>
        <w:rPr>
          <w:rFonts w:ascii="宋体" w:hAnsi="宋体"/>
        </w:rPr>
        <w:t>旧区改</w:t>
      </w:r>
      <w:r>
        <w:rPr>
          <w:rFonts w:hint="eastAsia" w:ascii="宋体" w:hAnsi="宋体"/>
        </w:rPr>
        <w:t>建的项目内新建住宅的日照标准</w:t>
      </w:r>
      <w:r>
        <w:rPr>
          <w:rFonts w:ascii="宋体" w:hAnsi="宋体"/>
        </w:rPr>
        <w:t>可酌情降低，但不</w:t>
      </w:r>
      <w:r>
        <w:rPr>
          <w:rFonts w:hint="eastAsia" w:ascii="宋体" w:hAnsi="宋体"/>
        </w:rPr>
        <w:t>应</w:t>
      </w:r>
      <w:r>
        <w:rPr>
          <w:rFonts w:ascii="宋体" w:hAnsi="宋体"/>
        </w:rPr>
        <w:t>低于大寒日日照１小时的标准</w:t>
      </w:r>
      <w:r>
        <w:rPr>
          <w:rFonts w:hint="eastAsia" w:ascii="宋体" w:hAnsi="宋体"/>
        </w:rPr>
        <w:t>。</w:t>
      </w:r>
    </w:p>
    <w:p>
      <w:pPr>
        <w:spacing w:before="156" w:beforeLines="50"/>
        <w:jc w:val="center"/>
        <w:rPr>
          <w:rFonts w:ascii="宋体" w:hAnsi="宋体"/>
          <w:b/>
          <w:bCs/>
          <w:u w:val="double"/>
        </w:rPr>
      </w:pPr>
      <w:r>
        <w:rPr>
          <w:rFonts w:hint="eastAsia" w:ascii="宋体" w:hAnsi="宋体"/>
          <w:b/>
          <w:bCs/>
          <w:szCs w:val="22"/>
          <w:u w:val="double"/>
        </w:rPr>
        <w:t>住宅建筑日照标准    表</w:t>
      </w:r>
      <w:r>
        <w:rPr>
          <w:rFonts w:ascii="宋体" w:hAnsi="宋体"/>
          <w:b/>
          <w:bCs/>
          <w:szCs w:val="22"/>
          <w:u w:val="double"/>
        </w:rPr>
        <w:t>5.0.2-1</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21"/>
        <w:gridCol w:w="1125"/>
        <w:gridCol w:w="1309"/>
        <w:gridCol w:w="1094"/>
        <w:gridCol w:w="1414"/>
        <w:gridCol w:w="10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Merge w:val="restart"/>
            <w:vAlign w:val="center"/>
          </w:tcPr>
          <w:p>
            <w:pPr>
              <w:jc w:val="center"/>
              <w:rPr>
                <w:rFonts w:ascii="宋体" w:hAnsi="宋体"/>
                <w:szCs w:val="22"/>
              </w:rPr>
            </w:pPr>
            <w:r>
              <w:rPr>
                <w:rFonts w:hint="eastAsia" w:ascii="宋体" w:hAnsi="宋体"/>
                <w:szCs w:val="22"/>
              </w:rPr>
              <w:t>建筑气候区划</w:t>
            </w:r>
          </w:p>
        </w:tc>
        <w:tc>
          <w:tcPr>
            <w:tcW w:w="2434" w:type="dxa"/>
            <w:gridSpan w:val="2"/>
            <w:vAlign w:val="center"/>
          </w:tcPr>
          <w:p>
            <w:pPr>
              <w:jc w:val="center"/>
              <w:rPr>
                <w:rFonts w:ascii="宋体" w:hAnsi="宋体"/>
                <w:szCs w:val="22"/>
              </w:rPr>
            </w:pPr>
            <w:r>
              <w:rPr>
                <w:rFonts w:hint="eastAsia" w:ascii="宋体" w:hAnsi="宋体"/>
                <w:szCs w:val="22"/>
              </w:rPr>
              <w:t>Ⅰ、Ⅱ、Ⅲ、Ⅶ气候</w:t>
            </w:r>
          </w:p>
        </w:tc>
        <w:tc>
          <w:tcPr>
            <w:tcW w:w="2508" w:type="dxa"/>
            <w:gridSpan w:val="2"/>
            <w:vAlign w:val="center"/>
          </w:tcPr>
          <w:p>
            <w:pPr>
              <w:jc w:val="center"/>
              <w:rPr>
                <w:rFonts w:ascii="宋体" w:hAnsi="宋体"/>
                <w:szCs w:val="22"/>
              </w:rPr>
            </w:pPr>
            <w:r>
              <w:rPr>
                <w:rFonts w:hint="eastAsia" w:ascii="宋体" w:hAnsi="宋体"/>
                <w:szCs w:val="22"/>
              </w:rPr>
              <w:t>Ⅳ气候区</w:t>
            </w:r>
          </w:p>
        </w:tc>
        <w:tc>
          <w:tcPr>
            <w:tcW w:w="1025" w:type="dxa"/>
            <w:vMerge w:val="restart"/>
            <w:vAlign w:val="center"/>
          </w:tcPr>
          <w:p>
            <w:pPr>
              <w:jc w:val="center"/>
              <w:rPr>
                <w:rFonts w:ascii="宋体" w:hAnsi="宋体"/>
                <w:szCs w:val="22"/>
              </w:rPr>
            </w:pPr>
            <w:r>
              <w:rPr>
                <w:rFonts w:hint="eastAsia" w:ascii="宋体" w:hAnsi="宋体"/>
                <w:szCs w:val="22"/>
              </w:rPr>
              <w:t>Ⅴ、Ⅵ气候区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Merge w:val="continue"/>
            <w:vAlign w:val="center"/>
          </w:tcPr>
          <w:p>
            <w:pPr>
              <w:jc w:val="center"/>
              <w:rPr>
                <w:rFonts w:ascii="宋体" w:hAnsi="宋体"/>
                <w:sz w:val="22"/>
                <w:szCs w:val="22"/>
              </w:rPr>
            </w:pPr>
          </w:p>
        </w:tc>
        <w:tc>
          <w:tcPr>
            <w:tcW w:w="1125" w:type="dxa"/>
            <w:vAlign w:val="center"/>
          </w:tcPr>
          <w:p>
            <w:pPr>
              <w:jc w:val="center"/>
              <w:rPr>
                <w:rFonts w:ascii="宋体" w:hAnsi="宋体"/>
                <w:szCs w:val="22"/>
              </w:rPr>
            </w:pPr>
            <w:r>
              <w:rPr>
                <w:rFonts w:hint="eastAsia" w:ascii="宋体" w:hAnsi="宋体"/>
                <w:szCs w:val="22"/>
              </w:rPr>
              <w:t>大城市</w:t>
            </w:r>
          </w:p>
        </w:tc>
        <w:tc>
          <w:tcPr>
            <w:tcW w:w="1309" w:type="dxa"/>
            <w:vAlign w:val="center"/>
          </w:tcPr>
          <w:p>
            <w:pPr>
              <w:jc w:val="center"/>
              <w:rPr>
                <w:rFonts w:ascii="宋体" w:hAnsi="宋体"/>
                <w:szCs w:val="22"/>
              </w:rPr>
            </w:pPr>
            <w:r>
              <w:rPr>
                <w:rFonts w:hint="eastAsia" w:ascii="宋体" w:hAnsi="宋体"/>
                <w:szCs w:val="22"/>
              </w:rPr>
              <w:t>中小城市</w:t>
            </w:r>
          </w:p>
        </w:tc>
        <w:tc>
          <w:tcPr>
            <w:tcW w:w="1094" w:type="dxa"/>
            <w:vAlign w:val="center"/>
          </w:tcPr>
          <w:p>
            <w:pPr>
              <w:jc w:val="center"/>
              <w:rPr>
                <w:rFonts w:ascii="宋体" w:hAnsi="宋体"/>
                <w:szCs w:val="22"/>
              </w:rPr>
            </w:pPr>
            <w:r>
              <w:rPr>
                <w:rFonts w:hint="eastAsia" w:ascii="宋体" w:hAnsi="宋体"/>
                <w:szCs w:val="22"/>
              </w:rPr>
              <w:t>大城市</w:t>
            </w:r>
          </w:p>
        </w:tc>
        <w:tc>
          <w:tcPr>
            <w:tcW w:w="1414" w:type="dxa"/>
            <w:vAlign w:val="center"/>
          </w:tcPr>
          <w:p>
            <w:pPr>
              <w:jc w:val="center"/>
              <w:rPr>
                <w:rFonts w:ascii="宋体" w:hAnsi="宋体"/>
                <w:szCs w:val="22"/>
              </w:rPr>
            </w:pPr>
            <w:r>
              <w:rPr>
                <w:rFonts w:hint="eastAsia" w:ascii="宋体" w:hAnsi="宋体"/>
                <w:szCs w:val="22"/>
              </w:rPr>
              <w:t>中小城市</w:t>
            </w:r>
          </w:p>
        </w:tc>
        <w:tc>
          <w:tcPr>
            <w:tcW w:w="1025" w:type="dxa"/>
            <w:vMerge w:val="continue"/>
            <w:vAlign w:val="center"/>
          </w:tcPr>
          <w:p>
            <w:pPr>
              <w:jc w:val="center"/>
              <w:rPr>
                <w:rFonts w:ascii="宋体" w:hAnsi="宋体"/>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日照标准日</w:t>
            </w:r>
          </w:p>
        </w:tc>
        <w:tc>
          <w:tcPr>
            <w:tcW w:w="3528" w:type="dxa"/>
            <w:gridSpan w:val="3"/>
            <w:vAlign w:val="center"/>
          </w:tcPr>
          <w:p>
            <w:pPr>
              <w:jc w:val="center"/>
              <w:rPr>
                <w:rFonts w:ascii="宋体" w:hAnsi="宋体"/>
                <w:szCs w:val="22"/>
              </w:rPr>
            </w:pPr>
            <w:r>
              <w:rPr>
                <w:rFonts w:hint="eastAsia" w:ascii="宋体" w:hAnsi="宋体"/>
                <w:szCs w:val="22"/>
              </w:rPr>
              <w:t>大</w:t>
            </w:r>
            <w:r>
              <w:rPr>
                <w:rFonts w:ascii="宋体" w:hAnsi="宋体"/>
                <w:szCs w:val="22"/>
              </w:rPr>
              <w:t xml:space="preserve">    </w:t>
            </w:r>
            <w:r>
              <w:rPr>
                <w:rFonts w:hint="eastAsia" w:ascii="宋体" w:hAnsi="宋体"/>
                <w:szCs w:val="22"/>
              </w:rPr>
              <w:t>寒</w:t>
            </w:r>
            <w:r>
              <w:rPr>
                <w:rFonts w:ascii="宋体" w:hAnsi="宋体"/>
                <w:szCs w:val="22"/>
              </w:rPr>
              <w:t xml:space="preserve">   </w:t>
            </w:r>
            <w:r>
              <w:rPr>
                <w:rFonts w:hint="eastAsia" w:ascii="宋体" w:hAnsi="宋体"/>
                <w:szCs w:val="22"/>
              </w:rPr>
              <w:t>日</w:t>
            </w:r>
          </w:p>
        </w:tc>
        <w:tc>
          <w:tcPr>
            <w:tcW w:w="2439" w:type="dxa"/>
            <w:gridSpan w:val="2"/>
            <w:vAlign w:val="center"/>
          </w:tcPr>
          <w:p>
            <w:pPr>
              <w:jc w:val="center"/>
              <w:rPr>
                <w:rFonts w:ascii="宋体" w:hAnsi="宋体"/>
                <w:szCs w:val="22"/>
              </w:rPr>
            </w:pPr>
            <w:r>
              <w:rPr>
                <w:rFonts w:hint="eastAsia" w:ascii="宋体" w:hAnsi="宋体"/>
                <w:szCs w:val="22"/>
              </w:rPr>
              <w:t>冬</w:t>
            </w:r>
            <w:r>
              <w:rPr>
                <w:rFonts w:ascii="宋体" w:hAnsi="宋体"/>
                <w:szCs w:val="22"/>
              </w:rPr>
              <w:t xml:space="preserve">  </w:t>
            </w:r>
            <w:r>
              <w:rPr>
                <w:rFonts w:hint="eastAsia" w:ascii="宋体" w:hAnsi="宋体"/>
                <w:szCs w:val="22"/>
              </w:rPr>
              <w:t>至</w:t>
            </w:r>
            <w:r>
              <w:rPr>
                <w:rFonts w:ascii="宋体" w:hAnsi="宋体"/>
                <w:szCs w:val="22"/>
              </w:rPr>
              <w:t xml:space="preserve">  </w:t>
            </w:r>
            <w:r>
              <w:rPr>
                <w:rFonts w:hint="eastAsia" w:ascii="宋体" w:hAnsi="宋体"/>
                <w:szCs w:val="22"/>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日照时数（</w:t>
            </w:r>
            <w:r>
              <w:rPr>
                <w:rFonts w:ascii="宋体" w:hAnsi="宋体"/>
                <w:szCs w:val="22"/>
              </w:rPr>
              <w:t>h</w:t>
            </w:r>
            <w:r>
              <w:rPr>
                <w:rFonts w:hint="eastAsia" w:ascii="宋体" w:hAnsi="宋体"/>
                <w:szCs w:val="22"/>
              </w:rPr>
              <w:t>）</w:t>
            </w:r>
          </w:p>
        </w:tc>
        <w:tc>
          <w:tcPr>
            <w:tcW w:w="1125" w:type="dxa"/>
            <w:vAlign w:val="center"/>
          </w:tcPr>
          <w:p>
            <w:pPr>
              <w:jc w:val="center"/>
              <w:rPr>
                <w:rFonts w:ascii="宋体" w:hAnsi="宋体"/>
                <w:szCs w:val="22"/>
              </w:rPr>
            </w:pPr>
            <w:r>
              <w:rPr>
                <w:rFonts w:hint="eastAsia" w:ascii="宋体" w:hAnsi="宋体"/>
                <w:szCs w:val="22"/>
              </w:rPr>
              <w:t>≥2</w:t>
            </w:r>
          </w:p>
        </w:tc>
        <w:tc>
          <w:tcPr>
            <w:tcW w:w="2403" w:type="dxa"/>
            <w:gridSpan w:val="2"/>
            <w:vAlign w:val="center"/>
          </w:tcPr>
          <w:p>
            <w:pPr>
              <w:jc w:val="center"/>
              <w:rPr>
                <w:rFonts w:ascii="宋体" w:hAnsi="宋体"/>
                <w:szCs w:val="22"/>
              </w:rPr>
            </w:pPr>
            <w:r>
              <w:rPr>
                <w:rFonts w:hint="eastAsia" w:ascii="宋体" w:hAnsi="宋体"/>
                <w:szCs w:val="22"/>
              </w:rPr>
              <w:t>≥3</w:t>
            </w:r>
          </w:p>
        </w:tc>
        <w:tc>
          <w:tcPr>
            <w:tcW w:w="2439" w:type="dxa"/>
            <w:gridSpan w:val="2"/>
            <w:vAlign w:val="center"/>
          </w:tcPr>
          <w:p>
            <w:pPr>
              <w:jc w:val="center"/>
              <w:rPr>
                <w:rFonts w:ascii="宋体" w:hAnsi="宋体"/>
                <w:szCs w:val="22"/>
              </w:rPr>
            </w:pPr>
            <w:r>
              <w:rPr>
                <w:rFonts w:hint="eastAsia" w:ascii="宋体" w:hAnsi="宋体"/>
                <w:szCs w:val="22"/>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有效日照时间带（</w:t>
            </w:r>
            <w:r>
              <w:rPr>
                <w:rFonts w:ascii="宋体" w:hAnsi="宋体"/>
                <w:szCs w:val="22"/>
              </w:rPr>
              <w:t>h）</w:t>
            </w:r>
          </w:p>
        </w:tc>
        <w:tc>
          <w:tcPr>
            <w:tcW w:w="3528" w:type="dxa"/>
            <w:gridSpan w:val="3"/>
            <w:vAlign w:val="center"/>
          </w:tcPr>
          <w:p>
            <w:pPr>
              <w:jc w:val="center"/>
              <w:rPr>
                <w:rFonts w:ascii="宋体" w:hAnsi="宋体"/>
                <w:szCs w:val="22"/>
              </w:rPr>
            </w:pPr>
            <w:r>
              <w:rPr>
                <w:rFonts w:ascii="宋体" w:hAnsi="宋体"/>
                <w:szCs w:val="22"/>
              </w:rPr>
              <w:t>8～16</w:t>
            </w:r>
          </w:p>
        </w:tc>
        <w:tc>
          <w:tcPr>
            <w:tcW w:w="2439" w:type="dxa"/>
            <w:gridSpan w:val="2"/>
            <w:vAlign w:val="center"/>
          </w:tcPr>
          <w:p>
            <w:pPr>
              <w:jc w:val="center"/>
              <w:rPr>
                <w:rFonts w:ascii="宋体" w:hAnsi="宋体"/>
                <w:szCs w:val="22"/>
              </w:rPr>
            </w:pPr>
            <w:r>
              <w:rPr>
                <w:rFonts w:ascii="宋体" w:hAnsi="宋体"/>
                <w:szCs w:val="22"/>
              </w:rPr>
              <w:t>9～15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计算起点</w:t>
            </w:r>
          </w:p>
        </w:tc>
        <w:tc>
          <w:tcPr>
            <w:tcW w:w="5967" w:type="dxa"/>
            <w:gridSpan w:val="5"/>
            <w:vAlign w:val="center"/>
          </w:tcPr>
          <w:p>
            <w:pPr>
              <w:jc w:val="center"/>
              <w:rPr>
                <w:rFonts w:ascii="宋体" w:hAnsi="宋体"/>
                <w:szCs w:val="22"/>
              </w:rPr>
            </w:pPr>
            <w:r>
              <w:rPr>
                <w:rFonts w:hint="eastAsia" w:ascii="宋体" w:hAnsi="宋体"/>
                <w:szCs w:val="22"/>
              </w:rPr>
              <w:t>底</w:t>
            </w:r>
            <w:r>
              <w:rPr>
                <w:rFonts w:ascii="宋体" w:hAnsi="宋体"/>
                <w:szCs w:val="22"/>
              </w:rPr>
              <w:t xml:space="preserve">  </w:t>
            </w:r>
            <w:r>
              <w:rPr>
                <w:rFonts w:hint="eastAsia" w:ascii="宋体" w:hAnsi="宋体"/>
                <w:szCs w:val="22"/>
              </w:rPr>
              <w:t>层</w:t>
            </w:r>
            <w:r>
              <w:rPr>
                <w:rFonts w:ascii="宋体" w:hAnsi="宋体"/>
                <w:szCs w:val="22"/>
              </w:rPr>
              <w:t xml:space="preserve">  </w:t>
            </w:r>
            <w:r>
              <w:rPr>
                <w:rFonts w:hint="eastAsia" w:ascii="宋体" w:hAnsi="宋体"/>
                <w:szCs w:val="22"/>
              </w:rPr>
              <w:t>窗</w:t>
            </w:r>
            <w:r>
              <w:rPr>
                <w:rFonts w:ascii="宋体" w:hAnsi="宋体"/>
                <w:szCs w:val="22"/>
              </w:rPr>
              <w:t xml:space="preserve">  </w:t>
            </w:r>
            <w:r>
              <w:rPr>
                <w:rFonts w:hint="eastAsia" w:ascii="宋体" w:hAnsi="宋体"/>
                <w:szCs w:val="22"/>
              </w:rPr>
              <w:t>台</w:t>
            </w:r>
            <w:r>
              <w:rPr>
                <w:rFonts w:ascii="宋体" w:hAnsi="宋体"/>
                <w:szCs w:val="22"/>
              </w:rPr>
              <w:t xml:space="preserve">  </w:t>
            </w:r>
            <w:r>
              <w:rPr>
                <w:rFonts w:hint="eastAsia" w:ascii="宋体" w:hAnsi="宋体"/>
                <w:szCs w:val="22"/>
              </w:rPr>
              <w:t>面</w:t>
            </w:r>
          </w:p>
        </w:tc>
      </w:tr>
    </w:tbl>
    <w:p>
      <w:pPr>
        <w:spacing w:line="440" w:lineRule="exact"/>
        <w:ind w:firstLine="360" w:firstLineChars="200"/>
        <w:rPr>
          <w:sz w:val="18"/>
          <w:szCs w:val="18"/>
        </w:rPr>
      </w:pPr>
      <w:r>
        <w:rPr>
          <w:rFonts w:hint="eastAsia" w:ascii="宋体" w:hAnsi="宋体"/>
          <w:sz w:val="18"/>
          <w:szCs w:val="18"/>
        </w:rPr>
        <w:t>注：①建筑气候区划分应符合本规范附录A第A</w:t>
      </w:r>
      <w:r>
        <w:rPr>
          <w:rFonts w:ascii="宋体" w:hAnsi="宋体"/>
          <w:sz w:val="18"/>
          <w:szCs w:val="18"/>
        </w:rPr>
        <w:t>.0.1</w:t>
      </w:r>
      <w:r>
        <w:rPr>
          <w:rFonts w:hint="eastAsia" w:ascii="宋体" w:hAnsi="宋体"/>
          <w:sz w:val="18"/>
          <w:szCs w:val="18"/>
        </w:rPr>
        <w:t>条规定。②底层窗台面是指距室内地平0.9m高的外墙位置。</w:t>
      </w:r>
    </w:p>
    <w:p>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pPr>
        <w:pStyle w:val="2"/>
        <w:spacing w:line="360" w:lineRule="auto"/>
        <w:ind w:firstLine="0" w:firstLineChars="0"/>
        <w:rPr>
          <w:rFonts w:hint="eastAsia"/>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pPr>
        <w:pStyle w:val="2"/>
        <w:spacing w:line="360" w:lineRule="auto"/>
        <w:ind w:firstLine="0" w:firstLineChars="0"/>
        <w:rPr>
          <w:rFonts w:hint="eastAsia"/>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pPr>
        <w:spacing w:before="156" w:beforeLines="50" w:line="440" w:lineRule="exact"/>
        <w:rPr>
          <w:rFonts w:ascii="黑体" w:hAnsi="宋体" w:eastAsia="黑体"/>
          <w:sz w:val="24"/>
          <w:szCs w:val="24"/>
        </w:rPr>
      </w:pPr>
      <w:r>
        <w:rPr>
          <w:rFonts w:hint="eastAsia" w:ascii="黑体" w:hAnsi="宋体" w:eastAsia="黑体"/>
          <w:sz w:val="24"/>
          <w:szCs w:val="24"/>
        </w:rPr>
        <w:t>4.3《民用建筑设计通则》（GB 50352-2005）</w:t>
      </w:r>
    </w:p>
    <w:p>
      <w:pPr>
        <w:pStyle w:val="2"/>
        <w:spacing w:line="360" w:lineRule="auto"/>
        <w:ind w:firstLine="0" w:firstLineChars="0"/>
        <w:rPr>
          <w:sz w:val="21"/>
          <w:szCs w:val="21"/>
        </w:rPr>
      </w:pPr>
      <w:r>
        <w:rPr>
          <w:b/>
          <w:sz w:val="21"/>
          <w:szCs w:val="21"/>
        </w:rPr>
        <w:t xml:space="preserve">5.1.3 </w:t>
      </w:r>
      <w:r>
        <w:rPr>
          <w:sz w:val="21"/>
          <w:szCs w:val="21"/>
        </w:rPr>
        <w:t>建筑日照标准应符合下列要求：</w:t>
      </w:r>
    </w:p>
    <w:p>
      <w:pPr>
        <w:pStyle w:val="2"/>
        <w:numPr>
          <w:ilvl w:val="0"/>
          <w:numId w:val="2"/>
        </w:numPr>
        <w:spacing w:line="360" w:lineRule="auto"/>
        <w:ind w:left="284" w:hanging="284" w:firstLineChars="0"/>
        <w:rPr>
          <w:sz w:val="21"/>
          <w:szCs w:val="21"/>
        </w:rPr>
      </w:pPr>
      <w:r>
        <w:rPr>
          <w:sz w:val="21"/>
          <w:szCs w:val="21"/>
        </w:rPr>
        <w:t>每套住宅至少应有一个居住空间获得日照，该日照标准应符合现行国家标准《城市居住区规划设计规范》GB 50180有关规定；</w:t>
      </w:r>
    </w:p>
    <w:p>
      <w:pPr>
        <w:pStyle w:val="2"/>
        <w:numPr>
          <w:ilvl w:val="0"/>
          <w:numId w:val="2"/>
        </w:numPr>
        <w:spacing w:line="360" w:lineRule="auto"/>
        <w:ind w:left="284" w:hanging="284" w:firstLineChars="0"/>
        <w:rPr>
          <w:sz w:val="21"/>
          <w:szCs w:val="21"/>
        </w:rPr>
      </w:pPr>
      <w:r>
        <w:rPr>
          <w:sz w:val="21"/>
          <w:szCs w:val="21"/>
        </w:rPr>
        <w:t>宿舍半数以上的居室，应能获得同住宅居住空间相等的日照标准；</w:t>
      </w:r>
    </w:p>
    <w:p>
      <w:pPr>
        <w:pStyle w:val="2"/>
        <w:numPr>
          <w:ilvl w:val="0"/>
          <w:numId w:val="2"/>
        </w:numPr>
        <w:spacing w:line="360" w:lineRule="auto"/>
        <w:ind w:left="284" w:hanging="284" w:firstLineChars="0"/>
        <w:rPr>
          <w:sz w:val="21"/>
          <w:szCs w:val="21"/>
        </w:rPr>
      </w:pPr>
      <w:r>
        <w:rPr>
          <w:sz w:val="21"/>
          <w:szCs w:val="21"/>
        </w:rPr>
        <w:t>托儿所、幼儿园的主要生活用房，应能获得冬至日不小3h的日照标准；</w:t>
      </w:r>
    </w:p>
    <w:p>
      <w:pPr>
        <w:pStyle w:val="2"/>
        <w:numPr>
          <w:ilvl w:val="0"/>
          <w:numId w:val="2"/>
        </w:numPr>
        <w:spacing w:line="360" w:lineRule="auto"/>
        <w:ind w:left="284" w:hanging="284" w:firstLineChars="0"/>
        <w:rPr>
          <w:sz w:val="21"/>
          <w:szCs w:val="21"/>
        </w:rPr>
      </w:pPr>
      <w:r>
        <w:rPr>
          <w:sz w:val="21"/>
          <w:szCs w:val="21"/>
        </w:rPr>
        <w:t>老年人住宅、残疾人住宅的卧室、起居室，医院、疗养院半数以上的病房和疗养室，中小学半数以上的教室应能获得冬至日不小于2h的日照标准。</w:t>
      </w:r>
    </w:p>
    <w:p>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pPr>
        <w:spacing w:line="440" w:lineRule="exact"/>
        <w:rPr>
          <w:rFonts w:hint="eastAsia"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pPr>
        <w:spacing w:line="440" w:lineRule="exact"/>
        <w:rPr>
          <w:rFonts w:hint="eastAsia" w:ascii="宋体" w:hAnsi="宋体" w:cs="宋体"/>
          <w:b/>
          <w:bCs/>
          <w:color w:val="000000"/>
          <w:sz w:val="24"/>
          <w:szCs w:val="32"/>
        </w:rPr>
      </w:pPr>
      <w:r>
        <w:rPr>
          <w:rFonts w:hint="eastAsia" w:ascii="宋体" w:hAnsi="宋体" w:cs="宋体"/>
          <w:b/>
          <w:bCs/>
          <w:color w:val="000000"/>
          <w:sz w:val="24"/>
          <w:szCs w:val="32"/>
        </w:rPr>
        <w:t xml:space="preserve">                   2.</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Sun2014”</w:t>
      </w:r>
      <w:r>
        <w:rPr>
          <w:rFonts w:ascii="宋体" w:hAnsi="宋体" w:cs="宋体"/>
          <w:b/>
          <w:bCs/>
          <w:color w:val="000000"/>
          <w:sz w:val="24"/>
          <w:szCs w:val="32"/>
        </w:rPr>
        <w:t>进行分析计算。</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pPr>
        <w:spacing w:line="440" w:lineRule="exact"/>
        <w:rPr>
          <w:rFonts w:hint="eastAsia"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hint="eastAsia" w:ascii="宋体" w:hAnsi="宋体" w:cs="宋体"/>
                <w:b/>
                <w:bCs/>
                <w:color w:val="000000"/>
                <w:szCs w:val="21"/>
              </w:rPr>
            </w:pPr>
            <w:r>
              <w:rPr>
                <w:rFonts w:hint="eastAsia" w:ascii="宋体" w:hAnsi="宋体" w:cs="宋体"/>
                <w:b/>
                <w:bCs/>
                <w:color w:val="000000"/>
                <w:szCs w:val="21"/>
              </w:rPr>
              <w:t>分析建筑编号</w:t>
            </w:r>
          </w:p>
        </w:tc>
        <w:tc>
          <w:tcPr>
            <w:tcW w:w="4016" w:type="dxa"/>
          </w:tcPr>
          <w:p>
            <w:pPr>
              <w:spacing w:line="440" w:lineRule="exact"/>
              <w:jc w:val="center"/>
              <w:rPr>
                <w:rFonts w:hint="eastAsia"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pPr>
              <w:spacing w:line="440" w:lineRule="exact"/>
              <w:jc w:val="center"/>
              <w:rPr>
                <w:rFonts w:hint="eastAsia"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hint="eastAsia" w:ascii="宋体" w:hAnsi="宋体" w:cs="宋体"/>
                <w:bCs/>
                <w:color w:val="000000"/>
                <w:szCs w:val="21"/>
              </w:rPr>
            </w:pPr>
          </w:p>
        </w:tc>
        <w:tc>
          <w:tcPr>
            <w:tcW w:w="4016"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hint="eastAsia" w:ascii="宋体" w:hAnsi="宋体" w:cs="宋体"/>
                <w:bCs/>
                <w:color w:val="000000"/>
                <w:szCs w:val="21"/>
              </w:rPr>
            </w:pPr>
          </w:p>
        </w:tc>
        <w:tc>
          <w:tcPr>
            <w:tcW w:w="4016"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pPr>
        <w:spacing w:line="440" w:lineRule="exact"/>
        <w:rPr>
          <w:rFonts w:hint="eastAsia" w:ascii="宋体" w:hAnsi="宋体" w:cs="宋体"/>
          <w:b/>
          <w:bCs/>
          <w:color w:val="000000"/>
          <w:sz w:val="24"/>
          <w:szCs w:val="32"/>
        </w:rPr>
      </w:pPr>
      <w:r>
        <w:rPr>
          <w:rFonts w:ascii="宋体" w:hAnsi="宋体" w:cs="宋体"/>
          <w:b/>
          <w:bCs/>
          <w:color w:val="000000"/>
          <w:sz w:val="24"/>
          <w:szCs w:val="32"/>
        </w:rPr>
        <w:t>附 表：  共    页</w:t>
      </w:r>
    </w:p>
    <w:p>
      <w:pPr>
        <w:spacing w:line="360" w:lineRule="auto"/>
        <w:rPr>
          <w:rFonts w:hint="eastAsia" w:ascii="宋体" w:hAnsi="宋体"/>
          <w:sz w:val="22"/>
        </w:rPr>
      </w:pPr>
      <w:bookmarkStart w:id="25" w:name="窗照分析表"/>
      <w:bookmarkEnd w:id="25"/>
      <w:bookmarkStart w:id="26" w:name="ANALYSE_TABLE"/>
      <w:bookmarkEnd w:id="26"/>
    </w:p>
    <w:p>
      <w:pPr>
        <w:spacing w:line="360" w:lineRule="auto"/>
        <w:rPr>
          <w:rFonts w:hint="eastAsia" w:ascii="宋体" w:hAnsi="宋体"/>
          <w:sz w:val="22"/>
        </w:rPr>
      </w:pPr>
      <w:r>
        <w:rPr>
          <w:rFonts w:hint="eastAsia" w:ascii="宋体" w:hAnsi="宋体"/>
          <w:sz w:val="22"/>
        </w:rPr>
        <w:t>注 释：</w:t>
      </w:r>
    </w:p>
    <w:p>
      <w:pPr>
        <w:numPr>
          <w:ilvl w:val="0"/>
          <w:numId w:val="3"/>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pPr>
        <w:numPr>
          <w:ilvl w:val="0"/>
          <w:numId w:val="3"/>
        </w:numPr>
        <w:spacing w:before="48" w:beforeLines="20" w:line="360" w:lineRule="auto"/>
        <w:ind w:left="284" w:hanging="284"/>
        <w:rPr>
          <w:rFonts w:ascii="宋体" w:hAnsi="宋体"/>
          <w:sz w:val="22"/>
        </w:rPr>
      </w:pPr>
      <w:r>
        <w:rPr>
          <w:rFonts w:ascii="宋体" w:hAnsi="宋体"/>
          <w:sz w:val="22"/>
        </w:rPr>
        <w:t>不满足日照标准的窗户用灰色底纹标示。</w:t>
      </w:r>
    </w:p>
    <w:p>
      <w:pPr>
        <w:numPr>
          <w:ilvl w:val="0"/>
          <w:numId w:val="3"/>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pPr>
        <w:numPr>
          <w:ilvl w:val="0"/>
          <w:numId w:val="3"/>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pPr>
        <w:numPr>
          <w:ilvl w:val="0"/>
          <w:numId w:val="3"/>
        </w:numPr>
        <w:spacing w:before="48" w:beforeLines="20" w:line="360" w:lineRule="auto"/>
        <w:ind w:left="284" w:hanging="284"/>
        <w:rPr>
          <w:rFonts w:hint="eastAsia"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pPr>
        <w:spacing w:before="48" w:beforeLines="20" w:line="360" w:lineRule="auto"/>
        <w:rPr>
          <w:rFonts w:hint="eastAsia" w:ascii="宋体" w:hAnsi="宋体"/>
          <w:sz w:val="22"/>
        </w:rPr>
      </w:pPr>
    </w:p>
    <w:p>
      <w:pPr>
        <w:spacing w:line="360" w:lineRule="auto"/>
        <w:rPr>
          <w:rFonts w:ascii="宋体" w:hAnsi="宋体"/>
          <w:b/>
          <w:sz w:val="24"/>
        </w:rPr>
      </w:pPr>
      <w:r>
        <w:rPr>
          <w:rFonts w:ascii="宋体" w:hAnsi="宋体"/>
          <w:b/>
          <w:sz w:val="24"/>
        </w:rPr>
        <w:t>九、附图</w:t>
      </w:r>
    </w:p>
    <w:p>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r>
        <w:drawing>
          <wp:inline distT="0" distB="0" distL="0" distR="0">
            <wp:extent cx="5667375" cy="3657600"/>
            <wp:effectExtent l="0" t="0" r="1905"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7"/>
                    <a:stretch>
                      <a:fillRect/>
                    </a:stretch>
                  </pic:blipFill>
                  <pic:spPr>
                    <a:xfrm>
                      <a:off x="0" y="0"/>
                      <a:ext cx="5667375" cy="3657600"/>
                    </a:xfrm>
                    <a:prstGeom prst="rect">
                      <a:avLst/>
                    </a:prstGeom>
                  </pic:spPr>
                </pic:pic>
              </a:graphicData>
            </a:graphic>
          </wp:inline>
        </w:drawing>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pPr>
        <w:spacing w:line="360" w:lineRule="auto"/>
        <w:ind w:firstLine="480"/>
        <w:rPr>
          <w:rFonts w:hint="eastAsia" w:ascii="宋体" w:hAnsi="宋体" w:eastAsia="宋体"/>
          <w:sz w:val="24"/>
          <w:szCs w:val="24"/>
          <w:lang w:eastAsia="zh-CN"/>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r>
        <w:rPr>
          <w:rFonts w:hint="eastAsia" w:ascii="宋体" w:hAnsi="宋体" w:eastAsia="宋体"/>
          <w:sz w:val="24"/>
          <w:szCs w:val="24"/>
          <w:lang w:eastAsia="zh-CN"/>
        </w:rPr>
        <w:drawing>
          <wp:inline distT="0" distB="0" distL="114300" distR="114300">
            <wp:extent cx="5935345" cy="5015865"/>
            <wp:effectExtent l="0" t="0" r="8255" b="13335"/>
            <wp:docPr id="1" name="图片 1" descr="绿建日照分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绿建日照分析"/>
                    <pic:cNvPicPr>
                      <a:picLocks noChangeAspect="1"/>
                    </pic:cNvPicPr>
                  </pic:nvPicPr>
                  <pic:blipFill>
                    <a:blip r:embed="rId8"/>
                    <a:stretch>
                      <a:fillRect/>
                    </a:stretch>
                  </pic:blipFill>
                  <pic:spPr>
                    <a:xfrm>
                      <a:off x="0" y="0"/>
                      <a:ext cx="5935345" cy="5015865"/>
                    </a:xfrm>
                    <a:prstGeom prst="rect">
                      <a:avLst/>
                    </a:prstGeom>
                  </pic:spPr>
                </pic:pic>
              </a:graphicData>
            </a:graphic>
          </wp:inline>
        </w:drawing>
      </w:r>
    </w:p>
    <w:p>
      <w:pPr>
        <w:spacing w:line="360" w:lineRule="auto"/>
        <w:ind w:firstLine="480"/>
        <w:rPr>
          <w:rFonts w:hint="eastAsia" w:ascii="宋体" w:hAnsi="宋体" w:eastAsia="宋体"/>
          <w:sz w:val="24"/>
          <w:szCs w:val="24"/>
          <w:lang w:eastAsia="zh-CN"/>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r>
        <w:rPr>
          <w:rFonts w:hint="eastAsia" w:ascii="宋体" w:hAnsi="宋体" w:eastAsia="宋体"/>
          <w:sz w:val="24"/>
          <w:szCs w:val="24"/>
          <w:lang w:eastAsia="zh-CN"/>
        </w:rPr>
        <w:drawing>
          <wp:inline distT="0" distB="0" distL="114300" distR="114300">
            <wp:extent cx="5939790" cy="3150870"/>
            <wp:effectExtent l="0" t="0" r="3810" b="3810"/>
            <wp:docPr id="2" name="图片 2" descr="建筑日照西南轴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建筑日照西南轴测图"/>
                    <pic:cNvPicPr>
                      <a:picLocks noChangeAspect="1"/>
                    </pic:cNvPicPr>
                  </pic:nvPicPr>
                  <pic:blipFill>
                    <a:blip r:embed="rId9"/>
                    <a:stretch>
                      <a:fillRect/>
                    </a:stretch>
                  </pic:blipFill>
                  <pic:spPr>
                    <a:xfrm>
                      <a:off x="0" y="0"/>
                      <a:ext cx="5939790" cy="3150870"/>
                    </a:xfrm>
                    <a:prstGeom prst="rect">
                      <a:avLst/>
                    </a:prstGeom>
                  </pic:spPr>
                </pic:pic>
              </a:graphicData>
            </a:graphic>
          </wp:inline>
        </w:drawing>
      </w:r>
      <w:bookmarkStart w:id="27" w:name="_GoBack"/>
      <w:bookmarkEnd w:id="27"/>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pPr>
        <w:spacing w:line="360" w:lineRule="auto"/>
        <w:rPr>
          <w:rFonts w:hint="eastAsia" w:ascii="宋体" w:hAnsi="宋体"/>
          <w:sz w:val="24"/>
        </w:rPr>
      </w:pPr>
    </w:p>
    <w:p>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kern w:val="0"/>
        <w:sz w:val="20"/>
        <w:szCs w:val="21"/>
      </w:rPr>
      <w:pict>
        <v:rect id="_x0000_s4098" o:spid="_x0000_s4098" o:spt="1" style="position:absolute;left:0pt;margin-left:0pt;margin-top:1.15pt;height:15.6pt;width:99pt;z-index:251659264;mso-width-relative:page;mso-height-relative:page;" filled="f" stroked="f" coordsize="21600,21600">
          <v:path/>
          <v:fill on="f" focussize="0,0"/>
          <v:stroke on="f"/>
          <v:imagedata o:title=""/>
          <o:lock v:ext="edit"/>
          <v:textbox inset="0mm,0mm,0mm,0mm">
            <w:txbxContent>
              <w:p>
                <w:pPr>
                  <w:rPr>
                    <w:rFonts w:hint="eastAsia"/>
                    <w:sz w:val="18"/>
                  </w:rPr>
                </w:pPr>
                <w:r>
                  <w:rPr>
                    <w:rFonts w:hint="eastAsia"/>
                    <w:sz w:val="18"/>
                  </w:rPr>
                  <w:t>【绿建软件 版权所有】</w:t>
                </w:r>
              </w:p>
            </w:txbxContent>
          </v:textbox>
        </v:rect>
      </w:pic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9214"/>
        <w:tab w:val="clear" w:pos="8306"/>
      </w:tabs>
      <w:ind w:right="-1"/>
      <w:jc w:val="both"/>
      <w:rPr>
        <w:rFonts w:hint="eastAsia"/>
        <w:sz w:val="21"/>
        <w:szCs w:val="21"/>
      </w:rPr>
    </w:pPr>
    <w:r>
      <w:rPr>
        <w:rFonts w:hint="eastAsia"/>
        <w:sz w:val="21"/>
        <w:szCs w:val="21"/>
      </w:rPr>
      <w:pict>
        <v:shape id="_x0000_s4097" o:spid="_x0000_s4097" o:spt="75" type="#_x0000_t75" style="position:absolute;left:0pt;margin-left:372.35pt;margin-top:-12.35pt;height:23.25pt;width:88.7pt;mso-wrap-distance-bottom:0pt;mso-wrap-distance-left:9pt;mso-wrap-distance-right:9pt;mso-wrap-distance-top:0pt;z-index:251659264;mso-width-relative:page;mso-height-relative:page;" filled="f" o:preferrelative="t" stroked="f" coordsize="21600,21600">
          <v:path/>
          <v:fill on="f" focussize="0,0"/>
          <v:stroke on="f" joinstyle="miter"/>
          <v:imagedata r:id="rId1" o:title=""/>
          <o:lock v:ext="edit" aspectratio="t"/>
          <w10:wrap type="square"/>
        </v:shape>
      </w:pict>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
    <w:nsid w:val="579C31ED"/>
    <w:multiLevelType w:val="multilevel"/>
    <w:tmpl w:val="579C31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3,4"/>
    </o:shapelayout>
  </w:hdrShapeDefaults>
  <w:compat>
    <w:useFELayout/>
    <w:compatSetting w:name="compatibilityMode" w:uri="http://schemas.microsoft.com/office/word" w:val="12"/>
  </w:compat>
  <w:rsids>
    <w:rsidRoot w:val="00217F62"/>
    <w:rsid w:val="001915A3"/>
    <w:rsid w:val="00217F62"/>
    <w:rsid w:val="00A906D8"/>
    <w:rsid w:val="00AB5A74"/>
    <w:rsid w:val="00F071AE"/>
    <w:rsid w:val="3DED2C56"/>
    <w:rsid w:val="3F9E7A72"/>
    <w:rsid w:val="46E272FF"/>
    <w:rsid w:val="6F5A1BD1"/>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qFormat/>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Char"/>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通用日照分析报告模板.dotx</Template>
  <Company>sh-tangent</Company>
  <Pages>5</Pages>
  <Words>378</Words>
  <Characters>2159</Characters>
  <Lines>17</Lines>
  <Paragraphs>5</Paragraphs>
  <TotalTime>2</TotalTime>
  <ScaleCrop>false</ScaleCrop>
  <LinksUpToDate>false</LinksUpToDate>
  <CharactersWithSpaces>2532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2017-04-05T09:42:00Z</dcterms:created>
  <dc:creator>微软用户</dc:creator>
  <cp:lastModifiedBy>王瑞龙</cp:lastModifiedBy>
  <cp:lastPrinted>2113-01-01T00:00:00Z</cp:lastPrinted>
  <dcterms:modified xsi:type="dcterms:W3CDTF">2021-12-20T14:31:21Z</dcterms:modified>
  <dc:title>通用日照分析报告模板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27EFCA266FBB465EB1BEE0B5AB425F91</vt:lpwstr>
  </property>
</Properties>
</file>