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青·舍——青峰岭村田园社区设计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合肥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安徽建筑大学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安徽建筑大学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T18018994802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_Toc24455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_Toc28443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_Toc28443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_Toc6644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_Toc6644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_Toc29085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_Toc29085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_Toc29498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_Toc24842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_Toc24842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_Toc23124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_Toc23124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_Toc5686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_Toc23428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_Toc23428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_Toc4137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_Toc4137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_Toc22073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_Toc17150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_Toc17150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_Toc16125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_Toc18056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_Toc18056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_Toc13828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_Toc13828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_Toc11050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_Toc11050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_Toc16152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_Toc16152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Start w:id="57" w:name="_GoBack"/>
      <w:bookmarkEnd w:id="57"/>
    </w:p>
    <w:p>
      <w:pPr>
        <w:pStyle w:val="16"/>
      </w:pPr>
    </w:p>
    <w:p>
      <w:pPr>
        <w:pStyle w:val="2"/>
      </w:pPr>
      <w:bookmarkStart w:id="11" w:name="_Toc24455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青·舍——青峰岭村田园社区设计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合肥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31.87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117.28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28443"/>
      <w:bookmarkStart w:id="23" w:name="TitleFormat"/>
      <w:r>
        <w:rPr>
          <w:rFonts w:hint="eastAsia"/>
        </w:rPr>
        <w:t>设计依据</w:t>
      </w:r>
      <w:bookmarkEnd w:id="22"/>
    </w:p>
    <w:bookmarkEnd w:id="23"/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 286-2013</w:t>
      </w:r>
    </w:p>
    <w:p>
      <w:pPr>
        <w:pStyle w:val="2"/>
      </w:pPr>
      <w:bookmarkStart w:id="25" w:name="_Toc6644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29085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29498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24842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23124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214.70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5686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23428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53041.96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49181.01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342.08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vAlign w:val="center"/>
          </w:tcPr>
          <w:p>
            <w:r>
              <w:t>2546.23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vAlign w:val="center"/>
          </w:tcPr>
          <w:p>
            <w:r>
              <w:t>39517.64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3782.54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vAlign w:val="center"/>
          </w:tcPr>
          <w:p>
            <w:r>
              <w:t>599.07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vAlign w:val="center"/>
          </w:tcPr>
          <w:p>
            <w:r>
              <w:t>10319.29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vAlign w:val="center"/>
          </w:tcPr>
          <w:p>
            <w:r>
              <w:t>2888.32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vAlign w:val="center"/>
          </w:tcPr>
          <w:p>
            <w:r>
              <w:t>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vAlign w:val="center"/>
          </w:tcPr>
          <w:p>
            <w:r>
              <w:t>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vAlign w:val="center"/>
          </w:tcPr>
          <w:p>
            <w:r>
              <w:t>0.93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4137"/>
      <w:r>
        <w:rPr>
          <w:rFonts w:hint="eastAsia"/>
        </w:rPr>
        <w:t>规定性设计指标</w:t>
      </w:r>
      <w:bookmarkEnd w:id="35"/>
    </w:p>
    <w:p>
      <w:pPr>
        <w:pStyle w:val="4"/>
      </w:pPr>
      <w:bookmarkStart w:id="36" w:name="_Toc22073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01</w:t>
            </w:r>
          </w:p>
        </w:tc>
        <w:tc>
          <w:tcPr>
            <w:vAlign w:val="center"/>
          </w:tcPr>
          <w:p>
            <w:r>
              <w:t>454.56</w:t>
            </w:r>
          </w:p>
        </w:tc>
        <w:tc>
          <w:tcPr>
            <w:vAlign w:val="center"/>
          </w:tcPr>
          <w:p>
            <w:r>
              <w:t>601.78</w:t>
            </w:r>
          </w:p>
        </w:tc>
        <w:tc>
          <w:tcPr>
            <w:vAlign w:val="center"/>
          </w:tcPr>
          <w:p>
            <w:r>
              <w:t>170.00</w:t>
            </w:r>
          </w:p>
        </w:tc>
        <w:tc>
          <w:tcPr>
            <w:vAlign w:val="center"/>
          </w:tcPr>
          <w:p>
            <w:r>
              <w:t>0.7554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02</w:t>
            </w:r>
          </w:p>
        </w:tc>
        <w:tc>
          <w:tcPr>
            <w:vAlign w:val="center"/>
          </w:tcPr>
          <w:p>
            <w:r>
              <w:t>176.69</w:t>
            </w:r>
          </w:p>
        </w:tc>
        <w:tc>
          <w:tcPr>
            <w:vAlign w:val="center"/>
          </w:tcPr>
          <w:p>
            <w:r>
              <w:t>200.73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0.8</w:t>
            </w:r>
            <w:r>
              <w:rPr>
                <w:rFonts w:hint="eastAsia"/>
                <w:lang w:val="en-US" w:eastAsia="zh-CN"/>
              </w:rPr>
              <w:t>2</w:t>
            </w:r>
            <w:r>
              <w:t>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10-3</w:t>
            </w:r>
          </w:p>
        </w:tc>
        <w:tc>
          <w:tcPr>
            <w:vAlign w:val="center"/>
          </w:tcPr>
          <w:p>
            <w:r>
              <w:t>124.62</w:t>
            </w:r>
          </w:p>
        </w:tc>
        <w:tc>
          <w:tcPr>
            <w:vAlign w:val="center"/>
          </w:tcPr>
          <w:p>
            <w:r>
              <w:t>178.76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0.6972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10-4</w:t>
            </w:r>
          </w:p>
        </w:tc>
        <w:tc>
          <w:tcPr>
            <w:vAlign w:val="center"/>
          </w:tcPr>
          <w:p>
            <w:r>
              <w:t>119.11</w:t>
            </w:r>
          </w:p>
        </w:tc>
        <w:tc>
          <w:tcPr>
            <w:vAlign w:val="center"/>
          </w:tcPr>
          <w:p>
            <w:r>
              <w:t>132.49</w:t>
            </w:r>
          </w:p>
        </w:tc>
        <w:tc>
          <w:tcPr>
            <w:vAlign w:val="center"/>
          </w:tcPr>
          <w:p>
            <w:r>
              <w:t>170.00</w:t>
            </w:r>
          </w:p>
        </w:tc>
        <w:tc>
          <w:tcPr>
            <w:vAlign w:val="center"/>
          </w:tcPr>
          <w:p>
            <w:r>
              <w:t>0.8</w:t>
            </w:r>
            <w:r>
              <w:rPr>
                <w:rFonts w:hint="eastAsia"/>
                <w:lang w:val="en-US" w:eastAsia="zh-CN"/>
              </w:rPr>
              <w:t>0</w:t>
            </w:r>
            <w:r>
              <w:t>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10-5</w:t>
            </w:r>
          </w:p>
        </w:tc>
        <w:tc>
          <w:tcPr>
            <w:vAlign w:val="center"/>
          </w:tcPr>
          <w:p>
            <w:r>
              <w:t>116.08</w:t>
            </w:r>
          </w:p>
        </w:tc>
        <w:tc>
          <w:tcPr>
            <w:vAlign w:val="center"/>
          </w:tcPr>
          <w:p>
            <w:r>
              <w:t>132.47</w:t>
            </w:r>
          </w:p>
        </w:tc>
        <w:tc>
          <w:tcPr>
            <w:vAlign w:val="center"/>
          </w:tcPr>
          <w:p>
            <w:r>
              <w:t>120.00</w:t>
            </w:r>
          </w:p>
        </w:tc>
        <w:tc>
          <w:tcPr>
            <w:vAlign w:val="center"/>
          </w:tcPr>
          <w:p>
            <w:r>
              <w:t>0.8</w:t>
            </w:r>
            <w:r>
              <w:rPr>
                <w:rFonts w:hint="eastAsia"/>
                <w:lang w:val="en-US" w:eastAsia="zh-CN"/>
              </w:rPr>
              <w:t>1</w:t>
            </w:r>
            <w: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单体1</w:t>
            </w:r>
          </w:p>
        </w:tc>
        <w:tc>
          <w:tcPr>
            <w:vAlign w:val="center"/>
          </w:tcPr>
          <w:p>
            <w:r>
              <w:t>142.84</w:t>
            </w:r>
          </w:p>
        </w:tc>
        <w:tc>
          <w:tcPr>
            <w:vAlign w:val="center"/>
          </w:tcPr>
          <w:p>
            <w:r>
              <w:t>174.24</w:t>
            </w:r>
          </w:p>
        </w:tc>
        <w:tc>
          <w:tcPr>
            <w:vAlign w:val="center"/>
          </w:tcPr>
          <w:p>
            <w:r>
              <w:t>130.00</w:t>
            </w:r>
          </w:p>
        </w:tc>
        <w:tc>
          <w:tcPr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79</w:t>
            </w:r>
            <w:r>
              <w:t>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民居1</w:t>
            </w:r>
          </w:p>
        </w:tc>
        <w:tc>
          <w:tcPr>
            <w:vAlign w:val="center"/>
          </w:tcPr>
          <w:p>
            <w:r>
              <w:t>410.96</w:t>
            </w:r>
          </w:p>
        </w:tc>
        <w:tc>
          <w:tcPr>
            <w:vAlign w:val="center"/>
          </w:tcPr>
          <w:p>
            <w:r>
              <w:t>515.50</w:t>
            </w:r>
          </w:p>
        </w:tc>
        <w:tc>
          <w:tcPr>
            <w:vAlign w:val="center"/>
          </w:tcPr>
          <w:p>
            <w:r>
              <w:t>130.00</w:t>
            </w:r>
          </w:p>
        </w:tc>
        <w:tc>
          <w:tcPr>
            <w:vAlign w:val="center"/>
          </w:tcPr>
          <w:p>
            <w:r>
              <w:t>0.7972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</w:t>
            </w:r>
          </w:p>
        </w:tc>
        <w:tc>
          <w:tcPr>
            <w:vAlign w:val="center"/>
          </w:tcPr>
          <w:p>
            <w:r>
              <w:t>181.24</w:t>
            </w:r>
          </w:p>
        </w:tc>
        <w:tc>
          <w:tcPr>
            <w:vAlign w:val="center"/>
          </w:tcPr>
          <w:p>
            <w:r>
              <w:t>200.90</w:t>
            </w:r>
          </w:p>
        </w:tc>
        <w:tc>
          <w:tcPr>
            <w:vAlign w:val="center"/>
          </w:tcPr>
          <w:p>
            <w:r>
              <w:t>110.00</w:t>
            </w:r>
          </w:p>
        </w:tc>
        <w:tc>
          <w:tcPr>
            <w:vAlign w:val="center"/>
          </w:tcPr>
          <w:p>
            <w:r>
              <w:t>0.</w:t>
            </w:r>
            <w:r>
              <w:rPr>
                <w:rFonts w:hint="eastAsia"/>
                <w:lang w:val="en-US" w:eastAsia="zh-CN"/>
              </w:rPr>
              <w:t>8</w:t>
            </w:r>
            <w:r>
              <w:t>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民居2-1</w:t>
            </w:r>
          </w:p>
        </w:tc>
        <w:tc>
          <w:tcPr>
            <w:vAlign w:val="center"/>
          </w:tcPr>
          <w:p>
            <w:r>
              <w:t>294.46</w:t>
            </w:r>
          </w:p>
        </w:tc>
        <w:tc>
          <w:tcPr>
            <w:vAlign w:val="center"/>
          </w:tcPr>
          <w:p>
            <w:r>
              <w:t>385.62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0.7636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民居3</w:t>
            </w:r>
          </w:p>
        </w:tc>
        <w:tc>
          <w:tcPr>
            <w:vAlign w:val="center"/>
          </w:tcPr>
          <w:p>
            <w:r>
              <w:t>501.59</w:t>
            </w:r>
          </w:p>
        </w:tc>
        <w:tc>
          <w:tcPr>
            <w:vAlign w:val="center"/>
          </w:tcPr>
          <w:p>
            <w:r>
              <w:t>666.49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0.7526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b/>
                <w:color w:val="auto"/>
              </w:rPr>
              <w:t>0.8</w:t>
            </w:r>
            <w:r>
              <w:rPr>
                <w:rFonts w:hint="eastAsia"/>
                <w:b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  <w:color w:val="auto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>
      <w:pPr>
        <w:pStyle w:val="4"/>
      </w:pPr>
      <w:bookmarkStart w:id="38" w:name="_Toc17150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5.4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26</w:t>
            </w:r>
            <w:r>
              <w:t>.0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51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17</w:t>
            </w:r>
            <w:r>
              <w:t>06.5</w:t>
            </w:r>
          </w:p>
        </w:tc>
        <w:tc>
          <w:tcPr>
            <w:vAlign w:val="center"/>
          </w:tcPr>
          <w:p>
            <w:r>
              <w:t>2546.2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67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  <w:color w:val="auto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>
      <w:pPr>
        <w:pStyle w:val="4"/>
      </w:pPr>
      <w:bookmarkStart w:id="40" w:name="_Toc16125"/>
      <w:r>
        <w:rPr>
          <w:rFonts w:hint="eastAsia"/>
        </w:rPr>
        <w:t>底层通风架空率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581.4</w:t>
            </w:r>
          </w:p>
        </w:tc>
        <w:tc>
          <w:tcPr>
            <w:vAlign w:val="center"/>
          </w:tcPr>
          <w:p>
            <w:r>
              <w:t>39.5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126.1</w:t>
            </w:r>
          </w:p>
        </w:tc>
        <w:tc>
          <w:tcPr>
            <w:vAlign w:val="center"/>
          </w:tcPr>
          <w:p>
            <w:r>
              <w:t>15.4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271.9</w:t>
            </w:r>
          </w:p>
        </w:tc>
        <w:tc>
          <w:tcPr>
            <w:vAlign w:val="center"/>
          </w:tcPr>
          <w:p>
            <w:r>
              <w:t>20.8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t>19.9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单体1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225.9</w:t>
            </w:r>
          </w:p>
        </w:tc>
        <w:tc>
          <w:tcPr>
            <w:vAlign w:val="center"/>
          </w:tcPr>
          <w:p>
            <w:r>
              <w:t>24.5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vAlign w:val="center"/>
          </w:tcPr>
          <w:p>
            <w:r>
              <w:t>677.7</w:t>
            </w:r>
          </w:p>
        </w:tc>
        <w:tc>
          <w:tcPr>
            <w:vAlign w:val="center"/>
          </w:tcPr>
          <w:p>
            <w:r>
              <w:t>214.8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245.1</w:t>
            </w:r>
          </w:p>
        </w:tc>
        <w:tc>
          <w:tcPr>
            <w:vAlign w:val="center"/>
          </w:tcPr>
          <w:p>
            <w:r>
              <w:t>25.8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民居2-1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53.9</w:t>
            </w:r>
          </w:p>
        </w:tc>
        <w:tc>
          <w:tcPr>
            <w:vAlign w:val="center"/>
          </w:tcPr>
          <w:p>
            <w:r>
              <w:t>490.1</w:t>
            </w:r>
          </w:p>
        </w:tc>
        <w:tc>
          <w:tcPr>
            <w:vAlign w:val="center"/>
          </w:tcPr>
          <w:p>
            <w:r>
              <w:t>116.7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民居3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126.4</w:t>
            </w:r>
          </w:p>
        </w:tc>
        <w:tc>
          <w:tcPr>
            <w:vAlign w:val="center"/>
          </w:tcPr>
          <w:p>
            <w:r>
              <w:t>1054.1</w:t>
            </w:r>
          </w:p>
        </w:tc>
        <w:tc>
          <w:tcPr>
            <w:vAlign w:val="center"/>
          </w:tcPr>
          <w:p>
            <w:r>
              <w:t>212.7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>
      <w:pPr>
        <w:pStyle w:val="4"/>
      </w:pPr>
      <w:bookmarkStart w:id="42" w:name="_Toc18056"/>
      <w:r>
        <w:rPr>
          <w:rFonts w:hint="eastAsia"/>
        </w:rPr>
        <w:t>绿化遮阳体叶面积指数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LAI&gt;3</w:t>
            </w:r>
          </w:p>
        </w:tc>
        <w:tc>
          <w:tcPr>
            <w:vAlign w:val="center"/>
          </w:tcPr>
          <w:p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516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2.0&lt;LAI&lt;=3.0</w:t>
            </w:r>
          </w:p>
        </w:tc>
        <w:tc>
          <w:tcPr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1.0&lt;LAI&lt;=2.0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0.5&lt;LAI&lt;=1.0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LAI&lt;=0.5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LAI&gt;3</w:t>
            </w:r>
          </w:p>
        </w:tc>
        <w:tc>
          <w:tcPr>
            <w:vAlign w:val="center"/>
          </w:tcPr>
          <w:p>
            <w:r>
              <w:t>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2.0&lt;LAI&lt;=3.0</w:t>
            </w:r>
          </w:p>
        </w:tc>
        <w:tc>
          <w:tcPr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1.0&lt;LAI&lt;=2.0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0.5&lt;LAI&lt;=1.0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LAI&lt;=0.5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>
      <w:pPr>
        <w:pStyle w:val="4"/>
      </w:pPr>
      <w:bookmarkStart w:id="44" w:name="_Toc13828"/>
      <w:r>
        <w:rPr>
          <w:rFonts w:hint="eastAsia"/>
        </w:rPr>
        <w:t>渗透蒸发指标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2546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7.88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2546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7.88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53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7.88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6" w:name="_Toc11050"/>
      <w:r>
        <w:rPr>
          <w:rFonts w:hint="eastAsia"/>
        </w:rPr>
        <w:t>屋面绿化率</w:t>
      </w:r>
      <w:bookmarkEnd w:id="46"/>
    </w:p>
    <w:tbl>
      <w:tblPr>
        <w:tblStyle w:val="20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单体1</w:t>
            </w:r>
          </w:p>
        </w:tc>
        <w:tc>
          <w:tcPr>
            <w:vAlign w:val="center"/>
          </w:tcPr>
          <w:p>
            <w:r>
              <w:t>225.9</w:t>
            </w:r>
          </w:p>
        </w:tc>
        <w:tc>
          <w:tcPr>
            <w:vAlign w:val="center"/>
          </w:tcPr>
          <w:p>
            <w:r>
              <w:t>233.7</w:t>
            </w:r>
          </w:p>
        </w:tc>
        <w:tc>
          <w:tcPr>
            <w:vAlign w:val="center"/>
          </w:tcPr>
          <w:p>
            <w:r>
              <w:t>225.9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民居1</w:t>
            </w:r>
          </w:p>
        </w:tc>
        <w:tc>
          <w:tcPr>
            <w:vAlign w:val="center"/>
          </w:tcPr>
          <w:p>
            <w:r>
              <w:t>677.7</w:t>
            </w:r>
          </w:p>
        </w:tc>
        <w:tc>
          <w:tcPr>
            <w:vAlign w:val="center"/>
          </w:tcPr>
          <w:p>
            <w:r>
              <w:t>491.2</w:t>
            </w:r>
          </w:p>
        </w:tc>
        <w:tc>
          <w:tcPr>
            <w:vAlign w:val="center"/>
          </w:tcPr>
          <w:p>
            <w:r>
              <w:t>677.7</w:t>
            </w:r>
          </w:p>
        </w:tc>
        <w:tc>
          <w:tcPr>
            <w:vAlign w:val="center"/>
          </w:tcPr>
          <w:p>
            <w:r>
              <w:t>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</w:t>
            </w:r>
          </w:p>
        </w:tc>
        <w:tc>
          <w:tcPr>
            <w:vAlign w:val="center"/>
          </w:tcPr>
          <w:p>
            <w:r>
              <w:t>245.1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122.5</w:t>
            </w:r>
          </w:p>
        </w:tc>
        <w:tc>
          <w:tcPr>
            <w:vAlign w:val="center"/>
          </w:tcPr>
          <w:p>
            <w:r>
              <w:t>245.1</w:t>
            </w:r>
          </w:p>
        </w:tc>
        <w:tc>
          <w:tcPr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</w:rPr>
              <w:t>5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民居2-1</w:t>
            </w:r>
          </w:p>
        </w:tc>
        <w:tc>
          <w:tcPr>
            <w:vAlign w:val="center"/>
          </w:tcPr>
          <w:p>
            <w:r>
              <w:t>490.1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245.1</w:t>
            </w:r>
          </w:p>
        </w:tc>
        <w:tc>
          <w:tcPr>
            <w:vAlign w:val="center"/>
          </w:tcPr>
          <w:p>
            <w:r>
              <w:t>490.1</w:t>
            </w:r>
          </w:p>
        </w:tc>
        <w:tc>
          <w:tcPr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</w:rPr>
              <w:t>5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民居3</w:t>
            </w:r>
          </w:p>
        </w:tc>
        <w:tc>
          <w:tcPr>
            <w:vAlign w:val="center"/>
          </w:tcPr>
          <w:p>
            <w:r>
              <w:t>1054.1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621.9</w:t>
            </w:r>
          </w:p>
        </w:tc>
        <w:tc>
          <w:tcPr>
            <w:vAlign w:val="center"/>
          </w:tcPr>
          <w:p>
            <w:r>
              <w:t>1054.1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4067.5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2114.4</w:t>
            </w:r>
          </w:p>
        </w:tc>
        <w:tc>
          <w:tcPr>
            <w:vAlign w:val="center"/>
          </w:tcPr>
          <w:p>
            <w:r>
              <w:t>4067.5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屋面绿化率"/>
      <w:bookmarkEnd w:id="47"/>
    </w:p>
    <w:p>
      <w:pPr>
        <w:pStyle w:val="2"/>
      </w:pPr>
      <w:bookmarkStart w:id="48" w:name="_Toc16152"/>
      <w:r>
        <w:rPr>
          <w:rFonts w:hint="eastAsia"/>
        </w:rPr>
        <w:t>结论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  <w:color w:val="auto"/>
              </w:rPr>
            </w:pPr>
            <w:bookmarkStart w:id="50" w:name="平均迎风面积比结论"/>
            <w:r>
              <w:rPr>
                <w:rFonts w:hint="eastAsia"/>
                <w:b/>
                <w:color w:val="auto"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  <w:color w:val="auto"/>
              </w:rPr>
            </w:pPr>
            <w:bookmarkStart w:id="51" w:name="活动场地遮阳覆盖率结论"/>
            <w:r>
              <w:rPr>
                <w:rFonts w:hint="eastAsia"/>
                <w:b/>
                <w:color w:val="auto"/>
              </w:rP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pPr>
              <w:rPr>
                <w:color w:val="auto"/>
              </w:rPr>
            </w:pPr>
            <w:bookmarkStart w:id="52" w:name="底层通风架空率结论"/>
            <w:r>
              <w:rPr>
                <w:color w:val="auto"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pPr>
              <w:rPr>
                <w:color w:val="auto"/>
              </w:rPr>
            </w:pPr>
            <w:bookmarkStart w:id="53" w:name="绿化遮阳体叶面积指数结论"/>
            <w:r>
              <w:rPr>
                <w:color w:val="auto"/>
              </w:rP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pPr>
              <w:rPr>
                <w:color w:val="auto"/>
              </w:rPr>
            </w:pPr>
            <w:bookmarkStart w:id="54" w:name="渗透蒸发指标结论"/>
            <w:r>
              <w:rPr>
                <w:color w:val="auto"/>
              </w:rP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pPr>
              <w:rPr>
                <w:color w:val="auto"/>
              </w:rPr>
            </w:pPr>
            <w:bookmarkStart w:id="55" w:name="屋面绿化率结论"/>
            <w:r>
              <w:rPr>
                <w:color w:val="auto"/>
              </w:rP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  <w:color w:val="auto"/>
              </w:rPr>
            </w:pPr>
            <w:bookmarkStart w:id="56" w:name="总结论"/>
            <w:r>
              <w:rPr>
                <w:rFonts w:hint="eastAsia"/>
                <w:b/>
                <w:color w:val="auto"/>
              </w:rPr>
              <w:t>满足</w:t>
            </w:r>
            <w:bookmarkEnd w:id="56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5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37D0541"/>
    <w:rsid w:val="3FD97331"/>
    <w:rsid w:val="47971E1D"/>
    <w:rsid w:val="4DF11ED8"/>
    <w:rsid w:val="64BD21A8"/>
    <w:rsid w:val="6B4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Company>ths</Company>
  <Pages>5</Pages>
  <Words>429</Words>
  <Characters>2451</Characters>
  <Lines>20</Lines>
  <Paragraphs>5</Paragraphs>
  <TotalTime>0</TotalTime>
  <ScaleCrop>false</ScaleCrop>
  <LinksUpToDate>false</LinksUpToDate>
  <CharactersWithSpaces>2875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2020-03-23T09:11:00Z</dcterms:created>
  <dc:creator>human</dc:creator>
  <cp:lastModifiedBy>Skyler</cp:lastModifiedBy>
  <cp:lastPrinted>2411-12-31T16:00:00Z</cp:lastPrinted>
  <dcterms:modified xsi:type="dcterms:W3CDTF">2022-03-07T05:26:55Z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FBC1A9C0FB344B8AB4F85971AD4FA4B1</vt:lpwstr>
  </property>
</Properties>
</file>