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青·舍——青峰岭村田园社区设计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合肥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t>安徽建筑大学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安徽建筑大学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T18018994802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_Toc32047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_Toc22251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_Toc22251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_Toc3054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_Toc3054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_Toc23606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_Toc23606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_Toc15256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_Toc15256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_Toc4658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_Toc4658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_Toc16339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_Toc16339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_Toc13202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_Toc28576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_Toc28576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_Toc3589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_Toc3589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_Toc12764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_Toc12764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_Toc9525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_Toc9525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_Toc23233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_Toc23233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_Toc18117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_Toc27249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_Toc27249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_Toc24370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_Toc24370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_Toc23761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_Toc23761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2047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青·舍——青峰岭村田园社区设计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合肥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31.87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117.28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22251"/>
      <w:bookmarkStart w:id="23" w:name="TitleFormat"/>
      <w:r>
        <w:rPr>
          <w:rFonts w:hint="eastAsia"/>
        </w:rPr>
        <w:t>设计依据</w:t>
      </w:r>
      <w:bookmarkEnd w:id="22"/>
    </w:p>
    <w:bookmarkEnd w:id="23"/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>
      <w:pPr>
        <w:pStyle w:val="2"/>
      </w:pPr>
      <w:bookmarkStart w:id="25" w:name="_Toc3054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23606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15256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4658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16339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13202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28576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53041.96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49181.01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342.08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vAlign w:val="center"/>
          </w:tcPr>
          <w:p>
            <w:r>
              <w:t>2546.23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vAlign w:val="center"/>
          </w:tcPr>
          <w:p>
            <w:r>
              <w:t>39517.64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3782.54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vAlign w:val="center"/>
          </w:tcPr>
          <w:p>
            <w:r>
              <w:t>599.07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vAlign w:val="center"/>
          </w:tcPr>
          <w:p>
            <w:r>
              <w:t>10319.29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vAlign w:val="center"/>
          </w:tcPr>
          <w:p>
            <w:r>
              <w:t>2888.32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vAlign w:val="center"/>
          </w:tcPr>
          <w:p>
            <w:r>
              <w:t>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vAlign w:val="center"/>
          </w:tcPr>
          <w:p>
            <w:r>
              <w:t>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3589"/>
      <w:r>
        <w:rPr>
          <w:rFonts w:hint="eastAsia"/>
        </w:rPr>
        <w:t>规定性设计指标</w:t>
      </w:r>
      <w:bookmarkEnd w:id="35"/>
    </w:p>
    <w:p>
      <w:pPr>
        <w:pStyle w:val="4"/>
      </w:pPr>
      <w:bookmarkStart w:id="36" w:name="_Toc12764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01</w:t>
            </w:r>
          </w:p>
        </w:tc>
        <w:tc>
          <w:tcPr>
            <w:vAlign w:val="center"/>
          </w:tcPr>
          <w:p>
            <w:r>
              <w:t>561.33</w:t>
            </w:r>
          </w:p>
        </w:tc>
        <w:tc>
          <w:tcPr>
            <w:vAlign w:val="center"/>
          </w:tcPr>
          <w:p>
            <w:r>
              <w:t>604.07</w:t>
            </w:r>
          </w:p>
        </w:tc>
        <w:tc>
          <w:tcPr>
            <w:vAlign w:val="center"/>
          </w:tcPr>
          <w:p>
            <w:r>
              <w:t>130.00</w:t>
            </w:r>
          </w:p>
        </w:tc>
        <w:tc>
          <w:tcPr>
            <w:vAlign w:val="center"/>
          </w:tcPr>
          <w:p>
            <w:r>
              <w:t>0.9292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02</w:t>
            </w:r>
          </w:p>
        </w:tc>
        <w:tc>
          <w:tcPr>
            <w:vAlign w:val="center"/>
          </w:tcPr>
          <w:p>
            <w:r>
              <w:t>133.66</w:t>
            </w:r>
          </w:p>
        </w:tc>
        <w:tc>
          <w:tcPr>
            <w:vAlign w:val="center"/>
          </w:tcPr>
          <w:p>
            <w:r>
              <w:t>201.03</w:t>
            </w:r>
          </w:p>
        </w:tc>
        <w:tc>
          <w:tcPr>
            <w:vAlign w:val="center"/>
          </w:tcPr>
          <w:p>
            <w:r>
              <w:t>140.00</w:t>
            </w:r>
          </w:p>
        </w:tc>
        <w:tc>
          <w:tcPr>
            <w:vAlign w:val="center"/>
          </w:tcPr>
          <w:p>
            <w:r>
              <w:t>0.6649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10-1</w:t>
            </w:r>
          </w:p>
        </w:tc>
        <w:tc>
          <w:tcPr>
            <w:vAlign w:val="center"/>
          </w:tcPr>
          <w:p>
            <w:r>
              <w:t>122.24</w:t>
            </w:r>
          </w:p>
        </w:tc>
        <w:tc>
          <w:tcPr>
            <w:vAlign w:val="center"/>
          </w:tcPr>
          <w:p>
            <w:r>
              <w:t>132.45</w:t>
            </w:r>
          </w:p>
        </w:tc>
        <w:tc>
          <w:tcPr>
            <w:vAlign w:val="center"/>
          </w:tcPr>
          <w:p>
            <w:r>
              <w:t>60.00</w:t>
            </w:r>
          </w:p>
        </w:tc>
        <w:tc>
          <w:tcPr>
            <w:vAlign w:val="center"/>
          </w:tcPr>
          <w:p>
            <w:r>
              <w:t>0.9229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10-3</w:t>
            </w:r>
          </w:p>
        </w:tc>
        <w:tc>
          <w:tcPr>
            <w:vAlign w:val="center"/>
          </w:tcPr>
          <w:p>
            <w:r>
              <w:t>145.72</w:t>
            </w:r>
          </w:p>
        </w:tc>
        <w:tc>
          <w:tcPr>
            <w:vAlign w:val="center"/>
          </w:tcPr>
          <w:p>
            <w:r>
              <w:t>179.27</w:t>
            </w:r>
          </w:p>
        </w:tc>
        <w:tc>
          <w:tcPr>
            <w:vAlign w:val="center"/>
          </w:tcPr>
          <w:p>
            <w:r>
              <w:t>150.00</w:t>
            </w:r>
          </w:p>
        </w:tc>
        <w:tc>
          <w:tcPr>
            <w:vAlign w:val="center"/>
          </w:tcPr>
          <w:p>
            <w:r>
              <w:t>0.8129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10-4</w:t>
            </w:r>
          </w:p>
        </w:tc>
        <w:tc>
          <w:tcPr>
            <w:vAlign w:val="center"/>
          </w:tcPr>
          <w:p>
            <w:r>
              <w:t>125.12</w:t>
            </w:r>
          </w:p>
        </w:tc>
        <w:tc>
          <w:tcPr>
            <w:vAlign w:val="center"/>
          </w:tcPr>
          <w:p>
            <w:r>
              <w:t>132.48</w:t>
            </w:r>
          </w:p>
        </w:tc>
        <w:tc>
          <w:tcPr>
            <w:vAlign w:val="center"/>
          </w:tcPr>
          <w:p>
            <w:r>
              <w:t>70.00</w:t>
            </w:r>
          </w:p>
        </w:tc>
        <w:tc>
          <w:tcPr>
            <w:vAlign w:val="center"/>
          </w:tcPr>
          <w:p>
            <w:r>
              <w:t>0.9444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10-5</w:t>
            </w:r>
          </w:p>
        </w:tc>
        <w:tc>
          <w:tcPr>
            <w:vAlign w:val="center"/>
          </w:tcPr>
          <w:p>
            <w:r>
              <w:t>127.13</w:t>
            </w:r>
          </w:p>
        </w:tc>
        <w:tc>
          <w:tcPr>
            <w:vAlign w:val="center"/>
          </w:tcPr>
          <w:p>
            <w:r>
              <w:t>132.39</w:t>
            </w:r>
          </w:p>
        </w:tc>
        <w:tc>
          <w:tcPr>
            <w:vAlign w:val="center"/>
          </w:tcPr>
          <w:p>
            <w:r>
              <w:t>130.00</w:t>
            </w:r>
          </w:p>
        </w:tc>
        <w:tc>
          <w:tcPr>
            <w:vAlign w:val="center"/>
          </w:tcPr>
          <w:p>
            <w:r>
              <w:t>0.9602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单体1</w:t>
            </w:r>
          </w:p>
        </w:tc>
        <w:tc>
          <w:tcPr>
            <w:vAlign w:val="center"/>
          </w:tcPr>
          <w:p>
            <w:r>
              <w:t>170.10</w:t>
            </w:r>
          </w:p>
        </w:tc>
        <w:tc>
          <w:tcPr>
            <w:vAlign w:val="center"/>
          </w:tcPr>
          <w:p>
            <w:r>
              <w:t>176.18</w:t>
            </w:r>
          </w:p>
        </w:tc>
        <w:tc>
          <w:tcPr>
            <w:vAlign w:val="center"/>
          </w:tcPr>
          <w:p>
            <w:r>
              <w:t>80.00</w:t>
            </w:r>
          </w:p>
        </w:tc>
        <w:tc>
          <w:tcPr>
            <w:vAlign w:val="center"/>
          </w:tcPr>
          <w:p>
            <w:r>
              <w:t>0.9655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民居1</w:t>
            </w:r>
          </w:p>
        </w:tc>
        <w:tc>
          <w:tcPr>
            <w:vAlign w:val="center"/>
          </w:tcPr>
          <w:p>
            <w:r>
              <w:t>513.56</w:t>
            </w:r>
          </w:p>
        </w:tc>
        <w:tc>
          <w:tcPr>
            <w:vAlign w:val="center"/>
          </w:tcPr>
          <w:p>
            <w:r>
              <w:t>513.56</w:t>
            </w:r>
          </w:p>
        </w:tc>
        <w:tc>
          <w:tcPr>
            <w:vAlign w:val="center"/>
          </w:tcPr>
          <w:p>
            <w:r>
              <w:t>90.00</w:t>
            </w:r>
          </w:p>
        </w:tc>
        <w:tc>
          <w:tcPr>
            <w:vAlign w:val="center"/>
          </w:tcPr>
          <w:p>
            <w:r>
              <w:t>1.0000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</w:t>
            </w:r>
          </w:p>
        </w:tc>
        <w:tc>
          <w:tcPr>
            <w:vAlign w:val="center"/>
          </w:tcPr>
          <w:p>
            <w:r>
              <w:t>182.96</w:t>
            </w:r>
          </w:p>
        </w:tc>
        <w:tc>
          <w:tcPr>
            <w:vAlign w:val="center"/>
          </w:tcPr>
          <w:p>
            <w:r>
              <w:t>200.42</w:t>
            </w:r>
          </w:p>
        </w:tc>
        <w:tc>
          <w:tcPr>
            <w:vAlign w:val="center"/>
          </w:tcPr>
          <w:p>
            <w:r>
              <w:t>70.00</w:t>
            </w:r>
          </w:p>
        </w:tc>
        <w:tc>
          <w:tcPr>
            <w:vAlign w:val="center"/>
          </w:tcPr>
          <w:p>
            <w:r>
              <w:t>0.9129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民居2-1</w:t>
            </w:r>
          </w:p>
        </w:tc>
        <w:tc>
          <w:tcPr>
            <w:vAlign w:val="center"/>
          </w:tcPr>
          <w:p>
            <w:r>
              <w:t>293.00</w:t>
            </w:r>
          </w:p>
        </w:tc>
        <w:tc>
          <w:tcPr>
            <w:vAlign w:val="center"/>
          </w:tcPr>
          <w:p>
            <w:r>
              <w:t>385.30</w:t>
            </w:r>
          </w:p>
        </w:tc>
        <w:tc>
          <w:tcPr>
            <w:vAlign w:val="center"/>
          </w:tcPr>
          <w:p>
            <w:r>
              <w:t>170.00</w:t>
            </w:r>
          </w:p>
        </w:tc>
        <w:tc>
          <w:tcPr>
            <w:vAlign w:val="center"/>
          </w:tcPr>
          <w:p>
            <w:r>
              <w:t>0.7604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民居3</w:t>
            </w:r>
          </w:p>
        </w:tc>
        <w:tc>
          <w:tcPr>
            <w:vAlign w:val="center"/>
          </w:tcPr>
          <w:p>
            <w:r>
              <w:t>569.91</w:t>
            </w:r>
          </w:p>
        </w:tc>
        <w:tc>
          <w:tcPr>
            <w:vAlign w:val="center"/>
          </w:tcPr>
          <w:p>
            <w:r>
              <w:t>667.09</w:t>
            </w:r>
          </w:p>
        </w:tc>
        <w:tc>
          <w:tcPr>
            <w:vAlign w:val="center"/>
          </w:tcPr>
          <w:p>
            <w:r>
              <w:t>170.00</w:t>
            </w:r>
          </w:p>
        </w:tc>
        <w:tc>
          <w:tcPr>
            <w:vAlign w:val="center"/>
          </w:tcPr>
          <w:p>
            <w:r>
              <w:t>0.8543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  <w:color w:val="FF0000"/>
              </w:rPr>
              <w:t>0.884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>
      <w:pPr>
        <w:pStyle w:val="4"/>
      </w:pPr>
      <w:bookmarkStart w:id="38" w:name="_Toc9525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168.7</w:t>
            </w:r>
          </w:p>
        </w:tc>
        <w:tc>
          <w:tcPr>
            <w:vAlign w:val="center"/>
          </w:tcPr>
          <w:p>
            <w:r>
              <w:t>342.1</w:t>
            </w:r>
          </w:p>
        </w:tc>
        <w:tc>
          <w:tcPr>
            <w:vAlign w:val="center"/>
          </w:tcPr>
          <w:p>
            <w:r>
              <w:t>49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901.1</w:t>
            </w:r>
          </w:p>
        </w:tc>
        <w:tc>
          <w:tcPr>
            <w:vAlign w:val="center"/>
          </w:tcPr>
          <w:p>
            <w:r>
              <w:t>2546.2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35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>
      <w:pPr>
        <w:pStyle w:val="4"/>
      </w:pPr>
      <w:bookmarkStart w:id="40" w:name="_Toc23233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585.7</w:t>
            </w:r>
          </w:p>
        </w:tc>
        <w:tc>
          <w:tcPr>
            <w:vAlign w:val="center"/>
          </w:tcPr>
          <w:p>
            <w:r>
              <w:t>48.8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126.1</w:t>
            </w:r>
          </w:p>
        </w:tc>
        <w:tc>
          <w:tcPr>
            <w:vAlign w:val="center"/>
          </w:tcPr>
          <w:p>
            <w:r>
              <w:t>11.6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t>20.4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271.9</w:t>
            </w:r>
          </w:p>
        </w:tc>
        <w:tc>
          <w:tcPr>
            <w:vAlign w:val="center"/>
          </w:tcPr>
          <w:p>
            <w:r>
              <w:t>24.3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t>20.9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t>21.2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单体1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225.9</w:t>
            </w:r>
          </w:p>
        </w:tc>
        <w:tc>
          <w:tcPr>
            <w:vAlign w:val="center"/>
          </w:tcPr>
          <w:p>
            <w:r>
              <w:t>26.3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677.7</w:t>
            </w:r>
          </w:p>
        </w:tc>
        <w:tc>
          <w:tcPr>
            <w:vAlign w:val="center"/>
          </w:tcPr>
          <w:p>
            <w:r>
              <w:t>142.3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245.1</w:t>
            </w:r>
          </w:p>
        </w:tc>
        <w:tc>
          <w:tcPr>
            <w:vAlign w:val="center"/>
          </w:tcPr>
          <w:p>
            <w:r>
              <w:t>25.4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民居2-1</w:t>
            </w:r>
          </w:p>
        </w:tc>
        <w:tc>
          <w:tcPr>
            <w:vAlign w:val="center"/>
          </w:tcPr>
          <w:p>
            <w:r>
              <w:t>2.6</w:t>
            </w:r>
          </w:p>
        </w:tc>
        <w:tc>
          <w:tcPr>
            <w:vAlign w:val="center"/>
          </w:tcPr>
          <w:p>
            <w:r>
              <w:t>490.1</w:t>
            </w:r>
          </w:p>
        </w:tc>
        <w:tc>
          <w:tcPr>
            <w:vAlign w:val="center"/>
          </w:tcPr>
          <w:p>
            <w:r>
              <w:t>90.4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民居3</w:t>
            </w:r>
          </w:p>
        </w:tc>
        <w:tc>
          <w:tcPr>
            <w:vAlign w:val="center"/>
          </w:tcPr>
          <w:p>
            <w:r>
              <w:t>5.8</w:t>
            </w:r>
          </w:p>
        </w:tc>
        <w:tc>
          <w:tcPr>
            <w:vAlign w:val="center"/>
          </w:tcPr>
          <w:p>
            <w:r>
              <w:t>1054.1</w:t>
            </w:r>
          </w:p>
        </w:tc>
        <w:tc>
          <w:tcPr>
            <w:vAlign w:val="center"/>
          </w:tcPr>
          <w:p>
            <w:r>
              <w:t>158.2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18117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LAI&gt;3</w:t>
            </w:r>
          </w:p>
        </w:tc>
        <w:tc>
          <w:tcPr>
            <w:vAlign w:val="center"/>
          </w:tcPr>
          <w:p>
            <w:r>
              <w:t>1512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2.0&lt;LAI&lt;=3.0</w:t>
            </w:r>
          </w:p>
        </w:tc>
        <w:tc>
          <w:tcPr>
            <w:vAlign w:val="center"/>
          </w:tcPr>
          <w:p>
            <w:r>
              <w:t>9226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1.0&lt;LAI&lt;=2.0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0.5&lt;LAI&lt;=1.0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LAI&lt;=0.5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LAI&gt;3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2.0&lt;LAI&lt;=3.0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1.0&lt;LAI&lt;=2.0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0.5&lt;LAI&lt;=1.0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LAI&lt;=0.5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27249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342</w:t>
            </w:r>
          </w:p>
        </w:tc>
        <w:tc>
          <w:tcPr>
            <w:vAlign w:val="center"/>
          </w:tcPr>
          <w:p>
            <w:r>
              <w:t>0.118</w:t>
            </w:r>
          </w:p>
        </w:tc>
        <w:tc>
          <w:tcPr>
            <w:vAlign w:val="center"/>
          </w:tcPr>
          <w:p>
            <w:r>
              <w:t>31.68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2546</w:t>
            </w:r>
          </w:p>
        </w:tc>
        <w:tc>
          <w:tcPr>
            <w:vAlign w:val="center"/>
          </w:tcPr>
          <w:p>
            <w:r>
              <w:t>0.882</w:t>
            </w:r>
          </w:p>
        </w:tc>
        <w:tc>
          <w:tcPr>
            <w:vAlign w:val="center"/>
          </w:tcPr>
          <w:p>
            <w:r>
              <w:t>7.90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2888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10.71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10.71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24370"/>
      <w:r>
        <w:rPr>
          <w:rFonts w:hint="eastAsia"/>
        </w:rPr>
        <w:t>屋面绿化率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01</w:t>
            </w:r>
          </w:p>
        </w:tc>
        <w:tc>
          <w:tcPr>
            <w:vAlign w:val="center"/>
          </w:tcPr>
          <w:p>
            <w:r>
              <w:t>585.7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585.7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02</w:t>
            </w:r>
          </w:p>
        </w:tc>
        <w:tc>
          <w:tcPr>
            <w:vAlign w:val="center"/>
          </w:tcPr>
          <w:p>
            <w:r>
              <w:t>126.1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126.1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10-1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10-3</w:t>
            </w:r>
          </w:p>
        </w:tc>
        <w:tc>
          <w:tcPr>
            <w:vAlign w:val="center"/>
          </w:tcPr>
          <w:p>
            <w:r>
              <w:t>271.9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271.9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10-4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10-5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197.6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单体1</w:t>
            </w:r>
          </w:p>
        </w:tc>
        <w:tc>
          <w:tcPr>
            <w:vAlign w:val="center"/>
          </w:tcPr>
          <w:p>
            <w:r>
              <w:t>225.9</w:t>
            </w:r>
          </w:p>
        </w:tc>
        <w:tc>
          <w:tcPr>
            <w:vAlign w:val="center"/>
          </w:tcPr>
          <w:p>
            <w:r>
              <w:t>233.7</w:t>
            </w:r>
          </w:p>
        </w:tc>
        <w:tc>
          <w:tcPr>
            <w:vAlign w:val="center"/>
          </w:tcPr>
          <w:p>
            <w:r>
              <w:t>225.9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民居1</w:t>
            </w:r>
          </w:p>
        </w:tc>
        <w:tc>
          <w:tcPr>
            <w:vAlign w:val="center"/>
          </w:tcPr>
          <w:p>
            <w:r>
              <w:t>677.7</w:t>
            </w:r>
          </w:p>
        </w:tc>
        <w:tc>
          <w:tcPr>
            <w:vAlign w:val="center"/>
          </w:tcPr>
          <w:p>
            <w:r>
              <w:t>491.2</w:t>
            </w:r>
          </w:p>
        </w:tc>
        <w:tc>
          <w:tcPr>
            <w:vAlign w:val="center"/>
          </w:tcPr>
          <w:p>
            <w:r>
              <w:t>677.7</w:t>
            </w:r>
          </w:p>
        </w:tc>
        <w:tc>
          <w:tcPr>
            <w:vAlign w:val="center"/>
          </w:tcPr>
          <w:p>
            <w:r>
              <w:t>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</w:t>
            </w:r>
          </w:p>
        </w:tc>
        <w:tc>
          <w:tcPr>
            <w:vAlign w:val="center"/>
          </w:tcPr>
          <w:p>
            <w:r>
              <w:t>245.1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245.1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5</w:t>
            </w:r>
            <w:bookmarkStart w:id="57" w:name="_GoBack"/>
            <w:bookmarkEnd w:id="5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民居2-1</w:t>
            </w:r>
          </w:p>
        </w:tc>
        <w:tc>
          <w:tcPr>
            <w:vAlign w:val="center"/>
          </w:tcPr>
          <w:p>
            <w:r>
              <w:t>490.1</w:t>
            </w:r>
          </w:p>
        </w:tc>
        <w:tc>
          <w:tcPr>
            <w:vAlign w:val="center"/>
          </w:tcPr>
          <w:p>
            <w:r>
              <w:t>23.4</w:t>
            </w:r>
          </w:p>
        </w:tc>
        <w:tc>
          <w:tcPr>
            <w:vAlign w:val="center"/>
          </w:tcPr>
          <w:p>
            <w:r>
              <w:t>490.1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民居3</w:t>
            </w:r>
          </w:p>
        </w:tc>
        <w:tc>
          <w:tcPr>
            <w:vAlign w:val="center"/>
          </w:tcPr>
          <w:p>
            <w:r>
              <w:t>1054.1</w:t>
            </w:r>
          </w:p>
        </w:tc>
        <w:tc>
          <w:tcPr>
            <w:vAlign w:val="center"/>
          </w:tcPr>
          <w:p>
            <w:r>
              <w:t>91.7</w:t>
            </w:r>
          </w:p>
        </w:tc>
        <w:tc>
          <w:tcPr>
            <w:vAlign w:val="center"/>
          </w:tcPr>
          <w:p>
            <w:r>
              <w:t>1054.1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4269.4</w:t>
            </w:r>
          </w:p>
        </w:tc>
        <w:tc>
          <w:tcPr>
            <w:vAlign w:val="center"/>
          </w:tcPr>
          <w:p>
            <w:r>
              <w:t>851.7</w:t>
            </w:r>
          </w:p>
        </w:tc>
        <w:tc>
          <w:tcPr>
            <w:vAlign w:val="center"/>
          </w:tcPr>
          <w:p>
            <w:r>
              <w:t>4269.4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23761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2" w:name="底层通风架空率结论"/>
            <w:r>
              <w:rPr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3" w:name="绿化遮阳体叶面积指数结论"/>
            <w:r>
              <w:rPr>
                <w:color w:val="FF0000"/>
              </w:rPr>
              <w:t>不满足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5" w:name="屋面绿化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6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5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9905B2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  <w:rsid w:val="4199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10</Pages>
  <Words>2460</Words>
  <Characters>4199</Characters>
  <Lines>20</Lines>
  <Paragraphs>5</Paragraphs>
  <TotalTime>1</TotalTime>
  <ScaleCrop>false</ScaleCrop>
  <LinksUpToDate>false</LinksUpToDate>
  <CharactersWithSpaces>4256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2021-12-30T04:08:00Z</dcterms:created>
  <dc:creator>冷杉</dc:creator>
  <cp:lastModifiedBy>冷杉</cp:lastModifiedBy>
  <dcterms:modified xsi:type="dcterms:W3CDTF">2021-12-30T04:10:19Z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F06398DC2F9B41E8A7AA827B02C75936</vt:lpwstr>
  </property>
  <property fmtid="{D5CDD505-2E9C-101B-9397-08002B2CF9AE}" pid="3" name="KSOProductBuildVer">
    <vt:lpwstr>2052-11.1.0.11194</vt:lpwstr>
  </property>
</Properties>
</file>