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84" w:name="_GoBack"/>
      <w:bookmarkEnd w:id="84"/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青·舍——青峰岭村田园社区设计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hint="eastAsia" w:ascii="宋体" w:hAnsi="宋体"/>
          <w:bCs/>
          <w:sz w:val="44"/>
          <w:szCs w:val="44"/>
          <w:lang w:val="en-US"/>
        </w:rPr>
        <w:t>冷负荷计算书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青·舍——青峰岭村田园社区设计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r>
              <w:rPr>
                <w:rFonts w:hint="eastAsia" w:ascii="宋体" w:hAnsi="宋体"/>
                <w:szCs w:val="21"/>
              </w:rPr>
              <w:t>安徽建筑大学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r>
              <w:rPr>
                <w:rFonts w:hint="eastAsia" w:ascii="宋体" w:hAnsi="宋体"/>
                <w:szCs w:val="21"/>
              </w:rPr>
              <w:t>安徽建筑大学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2021年12月28日</w:t>
            </w:r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斯维尔暖通负荷BECH2020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20200606(SP1)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T18018994802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b w:val="0"/>
          <w:bCs w:val="0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0" w:name="目录"/>
      <w:r>
        <w:rPr>
          <w:rStyle w:val="21"/>
        </w:rPr>
        <w:fldChar w:fldCharType="begin"/>
      </w:r>
      <w:r>
        <w:rPr>
          <w:rStyle w:val="21"/>
        </w:rPr>
        <w:instrText xml:space="preserve"> </w:instrText>
      </w:r>
      <w:r>
        <w:instrText xml:space="preserve">HYPERLINK \l "_Toc316568035"</w:instrText>
      </w:r>
      <w:r>
        <w:rPr>
          <w:rStyle w:val="21"/>
        </w:rPr>
        <w:instrText xml:space="preserve"> </w:instrText>
      </w:r>
      <w:r>
        <w:rPr>
          <w:rStyle w:val="21"/>
        </w:rPr>
        <w:fldChar w:fldCharType="separate"/>
      </w:r>
      <w:r>
        <w:rPr>
          <w:rStyle w:val="21"/>
          <w:rFonts w:ascii="宋体" w:hAnsi="宋体"/>
        </w:rPr>
        <w:t>1</w:t>
      </w:r>
      <w:r>
        <w:rPr>
          <w:b w:val="0"/>
          <w:bCs w:val="0"/>
        </w:rPr>
        <w:tab/>
      </w:r>
      <w:r>
        <w:rPr>
          <w:rStyle w:val="21"/>
          <w:rFonts w:hint="eastAsia" w:ascii="宋体" w:hAnsi="宋体"/>
        </w:rPr>
        <w:t>建筑概况</w:t>
      </w:r>
      <w:r>
        <w:tab/>
      </w:r>
      <w:r>
        <w:fldChar w:fldCharType="begin"/>
      </w:r>
      <w:r>
        <w:instrText xml:space="preserve"> PAGEREF _Toc316568035 \h </w:instrText>
      </w:r>
      <w:r>
        <w:fldChar w:fldCharType="separate"/>
      </w:r>
      <w:r>
        <w:t>4</w:t>
      </w:r>
      <w:r>
        <w:fldChar w:fldCharType="end"/>
      </w:r>
      <w:r>
        <w:rPr>
          <w:rStyle w:val="21"/>
        </w:rPr>
        <w:fldChar w:fldCharType="end"/>
      </w:r>
    </w:p>
    <w:p>
      <w:pPr>
        <w:pStyle w:val="16"/>
        <w:rPr>
          <w:b w:val="0"/>
          <w:bCs w:val="0"/>
        </w:rPr>
      </w:pPr>
      <w:r>
        <w:fldChar w:fldCharType="begin"/>
      </w:r>
      <w:r>
        <w:instrText xml:space="preserve"> HYPERLINK \l "_Toc316568036" </w:instrText>
      </w:r>
      <w:r>
        <w:fldChar w:fldCharType="separate"/>
      </w:r>
      <w:r>
        <w:rPr>
          <w:rStyle w:val="21"/>
        </w:rPr>
        <w:t>2</w:t>
      </w:r>
      <w:r>
        <w:rPr>
          <w:b w:val="0"/>
          <w:bCs w:val="0"/>
        </w:rPr>
        <w:tab/>
      </w:r>
      <w:r>
        <w:rPr>
          <w:rStyle w:val="21"/>
          <w:rFonts w:hint="eastAsia"/>
        </w:rPr>
        <w:t>设计依据</w:t>
      </w:r>
      <w:r>
        <w:tab/>
      </w:r>
      <w:r>
        <w:fldChar w:fldCharType="begin"/>
      </w:r>
      <w:r>
        <w:instrText xml:space="preserve"> PAGEREF _Toc316568036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</w:rPr>
      </w:pPr>
      <w:r>
        <w:fldChar w:fldCharType="begin"/>
      </w:r>
      <w:r>
        <w:instrText xml:space="preserve"> HYPERLINK \l "_Toc316568037" </w:instrText>
      </w:r>
      <w:r>
        <w:fldChar w:fldCharType="separate"/>
      </w:r>
      <w:r>
        <w:rPr>
          <w:rStyle w:val="21"/>
        </w:rPr>
        <w:t>3</w:t>
      </w:r>
      <w:r>
        <w:rPr>
          <w:b w:val="0"/>
          <w:bCs w:val="0"/>
        </w:rPr>
        <w:tab/>
      </w:r>
      <w:r>
        <w:rPr>
          <w:rStyle w:val="21"/>
          <w:rFonts w:hint="eastAsia"/>
        </w:rPr>
        <w:t>规定性指标检查</w:t>
      </w:r>
      <w:r>
        <w:tab/>
      </w:r>
      <w:r>
        <w:fldChar w:fldCharType="begin"/>
      </w:r>
      <w:r>
        <w:instrText xml:space="preserve"> PAGEREF _Toc316568037 \h </w:instrText>
      </w:r>
      <w:r>
        <w:fldChar w:fldCharType="separate"/>
      </w:r>
      <w:r>
        <w:rPr>
          <w:rFonts w:hint="eastAsia"/>
          <w:b w:val="0"/>
          <w:bCs w:val="0"/>
        </w:rPr>
        <w:t>错误！未定义书签。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"_Toc316568038" </w:instrText>
      </w:r>
      <w:r>
        <w:fldChar w:fldCharType="separate"/>
      </w:r>
      <w:r>
        <w:rPr>
          <w:rStyle w:val="21"/>
          <w:lang w:val="en-GB"/>
        </w:rPr>
        <w:t>3.1</w:t>
      </w:r>
      <w:r>
        <w:tab/>
      </w:r>
      <w:r>
        <w:rPr>
          <w:rStyle w:val="21"/>
          <w:rFonts w:hint="eastAsia"/>
        </w:rPr>
        <w:t>体形系数</w:t>
      </w:r>
      <w:r>
        <w:tab/>
      </w:r>
      <w:r>
        <w:fldChar w:fldCharType="begin"/>
      </w:r>
      <w:r>
        <w:instrText xml:space="preserve"> PAGEREF _Toc316568038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"_Toc316568039" </w:instrText>
      </w:r>
      <w:r>
        <w:fldChar w:fldCharType="separate"/>
      </w:r>
      <w:r>
        <w:rPr>
          <w:rStyle w:val="21"/>
          <w:lang w:val="en-GB"/>
        </w:rPr>
        <w:t>3.2</w:t>
      </w:r>
      <w:r>
        <w:tab/>
      </w:r>
      <w:r>
        <w:rPr>
          <w:rStyle w:val="21"/>
          <w:rFonts w:hint="eastAsia"/>
        </w:rPr>
        <w:t>开间窗墙面积比</w:t>
      </w:r>
      <w:r>
        <w:tab/>
      </w:r>
      <w:r>
        <w:fldChar w:fldCharType="begin"/>
      </w:r>
      <w:r>
        <w:instrText xml:space="preserve"> PAGEREF _Toc316568039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"_Toc316568040" </w:instrText>
      </w:r>
      <w:r>
        <w:fldChar w:fldCharType="separate"/>
      </w:r>
      <w:r>
        <w:rPr>
          <w:rStyle w:val="21"/>
          <w:lang w:val="en-GB"/>
        </w:rPr>
        <w:t>3.3</w:t>
      </w:r>
      <w:r>
        <w:tab/>
      </w:r>
      <w:r>
        <w:rPr>
          <w:rStyle w:val="21"/>
          <w:rFonts w:hint="eastAsia"/>
        </w:rPr>
        <w:t>屋顶构造</w:t>
      </w:r>
      <w:r>
        <w:tab/>
      </w:r>
      <w:r>
        <w:fldChar w:fldCharType="begin"/>
      </w:r>
      <w:r>
        <w:instrText xml:space="preserve"> PAGEREF _Toc316568040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"_Toc316568041" </w:instrText>
      </w:r>
      <w:r>
        <w:fldChar w:fldCharType="separate"/>
      </w:r>
      <w:r>
        <w:rPr>
          <w:rStyle w:val="21"/>
          <w:lang w:val="en-GB"/>
        </w:rPr>
        <w:t>3.3.1</w:t>
      </w:r>
      <w:r>
        <w:tab/>
      </w:r>
      <w:r>
        <w:rPr>
          <w:rStyle w:val="21"/>
          <w:rFonts w:hint="eastAsia"/>
        </w:rPr>
        <w:t>屋顶构造一</w:t>
      </w:r>
      <w:r>
        <w:tab/>
      </w:r>
      <w:r>
        <w:fldChar w:fldCharType="begin"/>
      </w:r>
      <w:r>
        <w:instrText xml:space="preserve"> PAGEREF _Toc316568041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"_Toc316568042" </w:instrText>
      </w:r>
      <w:r>
        <w:fldChar w:fldCharType="separate"/>
      </w:r>
      <w:r>
        <w:rPr>
          <w:rStyle w:val="21"/>
          <w:lang w:val="en-GB"/>
        </w:rPr>
        <w:t>3.3.2</w:t>
      </w:r>
      <w:r>
        <w:tab/>
      </w:r>
      <w:r>
        <w:rPr>
          <w:rStyle w:val="21"/>
          <w:rFonts w:hint="eastAsia"/>
        </w:rPr>
        <w:t>屋顶构造二</w:t>
      </w:r>
      <w:r>
        <w:tab/>
      </w:r>
      <w:r>
        <w:fldChar w:fldCharType="begin"/>
      </w:r>
      <w:r>
        <w:instrText xml:space="preserve"> PAGEREF _Toc316568042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"_Toc316568043" </w:instrText>
      </w:r>
      <w:r>
        <w:fldChar w:fldCharType="separate"/>
      </w:r>
      <w:r>
        <w:rPr>
          <w:rStyle w:val="21"/>
          <w:lang w:val="en-GB"/>
        </w:rPr>
        <w:t>3.3.3</w:t>
      </w:r>
      <w:r>
        <w:tab/>
      </w:r>
      <w:r>
        <w:rPr>
          <w:rStyle w:val="21"/>
          <w:rFonts w:hint="eastAsia"/>
        </w:rPr>
        <w:t>屋顶构造</w:t>
      </w:r>
      <w:r>
        <w:rPr>
          <w:rStyle w:val="21"/>
        </w:rPr>
        <w:t>N</w:t>
      </w:r>
      <w:r>
        <w:tab/>
      </w:r>
      <w:r>
        <w:fldChar w:fldCharType="begin"/>
      </w:r>
      <w:r>
        <w:instrText xml:space="preserve"> PAGEREF _Toc316568043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"_Toc316568044" </w:instrText>
      </w:r>
      <w:r>
        <w:fldChar w:fldCharType="separate"/>
      </w:r>
      <w:r>
        <w:rPr>
          <w:rStyle w:val="21"/>
          <w:lang w:val="en-GB"/>
        </w:rPr>
        <w:t>3.3.4</w:t>
      </w:r>
      <w:r>
        <w:tab/>
      </w:r>
      <w:r>
        <w:rPr>
          <w:rStyle w:val="21"/>
          <w:rFonts w:hint="eastAsia"/>
        </w:rPr>
        <w:t>屋顶平均热工性能</w:t>
      </w:r>
      <w:r>
        <w:tab/>
      </w:r>
      <w:r>
        <w:fldChar w:fldCharType="begin"/>
      </w:r>
      <w:r>
        <w:instrText xml:space="preserve"> PAGEREF _Toc316568044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6"/>
      </w:pPr>
      <w:r>
        <w:fldChar w:fldCharType="begin"/>
      </w:r>
      <w:r>
        <w:instrText xml:space="preserve"> HYPERLINK \l "_Toc316568098" </w:instrText>
      </w:r>
      <w:r>
        <w:fldChar w:fldCharType="separate"/>
      </w:r>
      <w:r>
        <w:rPr>
          <w:rStyle w:val="21"/>
          <w:rFonts w:hint="eastAsia"/>
        </w:rPr>
        <w:t>4</w:t>
      </w:r>
      <w:r>
        <w:tab/>
      </w:r>
      <w:r>
        <w:rPr>
          <w:rStyle w:val="21"/>
          <w:rFonts w:hint="eastAsia"/>
        </w:rPr>
        <w:t>附表</w:t>
      </w:r>
      <w:r>
        <w:rPr>
          <w:rStyle w:val="21"/>
        </w:rPr>
        <w:t xml:space="preserve"> </w:t>
      </w:r>
      <w:r>
        <w:rPr>
          <w:rStyle w:val="21"/>
          <w:rFonts w:hint="eastAsia"/>
        </w:rPr>
        <w:t>耗热量计算详表</w:t>
      </w:r>
      <w:r>
        <w:tab/>
      </w:r>
      <w:r>
        <w:fldChar w:fldCharType="begin"/>
      </w:r>
      <w:r>
        <w:instrText xml:space="preserve"> PAGEREF _Toc316568098 \h </w:instrText>
      </w:r>
      <w:r>
        <w:fldChar w:fldCharType="separate"/>
      </w:r>
      <w:r>
        <w:rPr>
          <w:rFonts w:hint="eastAsia"/>
          <w:b w:val="0"/>
          <w:bCs w:val="0"/>
        </w:rPr>
        <w:t>错误！未定义书签。</w:t>
      </w:r>
      <w:r>
        <w:fldChar w:fldCharType="end"/>
      </w:r>
      <w:r>
        <w:fldChar w:fldCharType="end"/>
      </w:r>
      <w:r>
        <w:fldChar w:fldCharType="end"/>
      </w:r>
    </w:p>
    <w:p>
      <w:pPr>
        <w:rPr>
          <w:lang w:val="en-US"/>
        </w:rPr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pStyle w:val="2"/>
        <w:rPr>
          <w:szCs w:val="24"/>
          <w:lang w:val="en-US"/>
        </w:rPr>
      </w:pPr>
      <w:r>
        <w:rPr>
          <w:szCs w:val="24"/>
          <w:lang w:val="en-US"/>
        </w:rPr>
        <w:t>建筑概况</w:t>
      </w:r>
    </w:p>
    <w:p>
      <w:pPr>
        <w:pStyle w:val="4"/>
        <w:rPr>
          <w:szCs w:val="24"/>
          <w:lang w:val="en-US"/>
        </w:rPr>
      </w:pPr>
      <w:r>
        <w:rPr>
          <w:szCs w:val="24"/>
          <w:lang w:val="en-US"/>
        </w:rPr>
        <w:t>概况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gridSpan w:val="2"/>
            <w:vAlign w:val="center"/>
          </w:tcPr>
          <w:p>
            <w:r>
              <w:t>安徽-合肥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gridSpan w:val="2"/>
            <w:vAlign w:val="center"/>
          </w:tcPr>
          <w:p>
            <w:r>
              <w:t>31.87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gridSpan w:val="2"/>
            <w:vAlign w:val="center"/>
          </w:tcPr>
          <w:p>
            <w:r>
              <w:t>117.23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gridSpan w:val="2"/>
            <w:vAlign w:val="center"/>
          </w:tcPr>
          <w:p>
            <w:r>
              <w:t>青·舍——青峰岭村田园社区设计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vAlign w:val="center"/>
          </w:tcPr>
          <w:p>
            <w:r>
              <w:t>地上 301.90 ㎡</w:t>
            </w:r>
          </w:p>
        </w:tc>
        <w:tc>
          <w:tcPr>
            <w:vAlign w:val="center"/>
          </w:tcPr>
          <w:p>
            <w:r>
              <w:t>地下 0.00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vAlign w:val="center"/>
          </w:tcPr>
          <w:p>
            <w:r>
              <w:t>地上 9.60 m</w:t>
            </w:r>
          </w:p>
        </w:tc>
        <w:tc>
          <w:tcPr>
            <w:vAlign w:val="center"/>
          </w:tcPr>
          <w:p>
            <w:r>
              <w:t>地下 0.00 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vAlign w:val="center"/>
          </w:tcPr>
          <w:p>
            <w:r>
              <w:t>地上 2</w:t>
            </w:r>
          </w:p>
        </w:tc>
        <w:tc>
          <w:tcPr>
            <w:vAlign w:val="center"/>
          </w:tcPr>
          <w:p>
            <w:r>
              <w:t>地下 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gridSpan w:val="2"/>
            <w:vAlign w:val="center"/>
          </w:tcPr>
          <w:p>
            <w:r>
              <w:t>150°</w:t>
            </w:r>
          </w:p>
        </w:tc>
      </w:tr>
    </w:tbl>
    <w:p>
      <w:pPr>
        <w:pStyle w:val="4"/>
        <w:rPr>
          <w:szCs w:val="24"/>
          <w:lang w:val="en-US"/>
        </w:rPr>
      </w:pPr>
      <w:r>
        <w:rPr>
          <w:szCs w:val="24"/>
          <w:lang w:val="en-US"/>
        </w:rPr>
        <w:t>室外温湿度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04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05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</w:tr>
    </w:tbl>
    <w:p>
      <w:pPr>
        <w:pStyle w:val="4"/>
        <w:rPr>
          <w:szCs w:val="24"/>
          <w:lang w:val="en-US"/>
        </w:rPr>
      </w:pPr>
      <w:r>
        <w:rPr>
          <w:szCs w:val="24"/>
          <w:lang w:val="en-US"/>
        </w:rPr>
        <w:t>太阳辐射照度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65"/>
        <w:gridCol w:w="701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朝向/时刻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r>
              <w:t>朝向</w:t>
            </w:r>
          </w:p>
        </w:tc>
        <w:tc>
          <w:tcPr>
            <w:vMerge w:val="restart"/>
            <w:vAlign w:val="center"/>
          </w:tcPr>
          <w:p>
            <w:r>
              <w:t>S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SE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E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NE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N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H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51</w:t>
            </w:r>
          </w:p>
        </w:tc>
      </w:tr>
    </w:tbl>
    <w:p>
      <w:pPr>
        <w:pStyle w:val="4"/>
        <w:rPr>
          <w:szCs w:val="24"/>
          <w:lang w:val="en-US"/>
        </w:rPr>
      </w:pPr>
      <w:r>
        <w:rPr>
          <w:szCs w:val="24"/>
          <w:lang w:val="en-US"/>
        </w:rPr>
        <w:t>其他气象参数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大气透明度等级</w:t>
            </w:r>
          </w:p>
        </w:tc>
        <w:tc>
          <w:tcPr>
            <w:vAlign w:val="center"/>
          </w:tcPr>
          <w:p>
            <w: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夏季室外计算日平均温度twp（℃）</w:t>
            </w:r>
          </w:p>
        </w:tc>
        <w:tc>
          <w:tcPr>
            <w:vAlign w:val="center"/>
          </w:tcPr>
          <w:p>
            <w:r>
              <w:t>31.7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夏季室外计算干球温度twg（℃）</w:t>
            </w:r>
          </w:p>
        </w:tc>
        <w:tc>
          <w:tcPr>
            <w:vAlign w:val="center"/>
          </w:tcPr>
          <w:p>
            <w:r>
              <w:t>35.0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室外计算日较差⊿tr（℃）</w:t>
            </w:r>
          </w:p>
        </w:tc>
        <w:tc>
          <w:tcPr>
            <w:vAlign w:val="center"/>
          </w:tcPr>
          <w:p>
            <w:r>
              <w:t>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夏季围护结构外表面换热系数αw(W/㎡· K)</w:t>
            </w:r>
          </w:p>
        </w:tc>
        <w:tc>
          <w:tcPr>
            <w:vAlign w:val="center"/>
          </w:tcPr>
          <w:p>
            <w:r>
              <w:t>18.6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围护结构内表面换热系数αn(W/㎡· K)</w:t>
            </w:r>
          </w:p>
        </w:tc>
        <w:tc>
          <w:tcPr>
            <w:vAlign w:val="center"/>
          </w:tcPr>
          <w:p>
            <w:r>
              <w:t>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外墙太阳辐射吸收系数ρ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屋顶太阳辐射吸收系数ρ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夏季空气调节室外计算湿球温度（℃）</w:t>
            </w:r>
          </w:p>
        </w:tc>
        <w:tc>
          <w:tcPr>
            <w:vAlign w:val="center"/>
          </w:tcPr>
          <w:p>
            <w:r>
              <w:t>28.1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夏季大气压力(Pa)</w:t>
            </w:r>
          </w:p>
        </w:tc>
        <w:tc>
          <w:tcPr>
            <w:vAlign w:val="center"/>
          </w:tcPr>
          <w:p>
            <w:r>
              <w:t>100120</w:t>
            </w:r>
          </w:p>
        </w:tc>
      </w:tr>
    </w:tbl>
    <w:p>
      <w:pPr>
        <w:pStyle w:val="2"/>
        <w:rPr>
          <w:szCs w:val="24"/>
          <w:lang w:val="en-US"/>
        </w:rPr>
      </w:pPr>
      <w:r>
        <w:rPr>
          <w:szCs w:val="24"/>
          <w:lang w:val="en-US"/>
        </w:rPr>
        <w:t>计算依据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 xml:space="preserve">1.《民用建筑供暖通风与空气调节设计规范》GB50736-2012.中国建筑工业出版社，2012 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2.《空气调节设计手册》.中国建筑工业出版社，2005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3.《实用供热空调设计手册》.中国建筑工业出版社，2008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4.《公共建筑节能设计标准》GB50189-2015.中国建筑工业出版社，2015</w:t>
      </w:r>
    </w:p>
    <w:p>
      <w:pPr>
        <w:pStyle w:val="2"/>
        <w:rPr>
          <w:szCs w:val="24"/>
          <w:lang w:val="en-US"/>
        </w:rPr>
      </w:pPr>
      <w:r>
        <w:rPr>
          <w:szCs w:val="24"/>
          <w:lang w:val="en-US"/>
        </w:rPr>
        <w:t>计算原理</w:t>
      </w:r>
    </w:p>
    <w:bookmarkEnd w:id="7"/>
    <w:p>
      <w:pPr>
        <w:pStyle w:val="4"/>
        <w:spacing w:line="240" w:lineRule="atLeast"/>
      </w:pPr>
      <w:bookmarkStart w:id="11" w:name="_Toc453593136"/>
      <w:r>
        <w:rPr>
          <w:rFonts w:hint="eastAsia"/>
        </w:rPr>
        <w:t>外窗的日射得热冷负荷</w:t>
      </w:r>
      <w:bookmarkEnd w:id="1"/>
      <w:bookmarkEnd w:id="2"/>
      <w:bookmarkEnd w:id="3"/>
      <w:bookmarkEnd w:id="4"/>
      <w:bookmarkEnd w:id="5"/>
      <w:bookmarkEnd w:id="6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object>
          <v:shape id="_x0000_i1025" o:spt="75" type="#_x0000_t75" style="height:18pt;width:30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公式中：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——各小时的日射冷负荷（W）；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vertAlign w:val="subscript"/>
          <w:lang w:val="en-US"/>
        </w:rPr>
        <w:t>Xsc</w:t>
      </w:r>
      <w:r>
        <w:rPr>
          <w:rFonts w:hint="eastAsia"/>
          <w:kern w:val="2"/>
          <w:szCs w:val="24"/>
          <w:lang w:val="en-US"/>
        </w:rPr>
        <w:t>——窗的自遮阳系数；</w:t>
      </w:r>
      <w:bookmarkEnd w:id="8"/>
      <w:bookmarkStart w:id="12" w:name="OLE_LINK4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——窗的有效面积系数:</w:t>
      </w:r>
    </w:p>
    <w:bookmarkEnd w:id="9"/>
    <w:bookmarkEnd w:id="12"/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>
        <w:rPr>
          <w:rFonts w:hint="eastAsia"/>
          <w:kern w:val="2"/>
          <w:szCs w:val="24"/>
          <w:lang w:val="en-US"/>
        </w:rPr>
        <w:t>——窗玻璃修正系数，即不是3mm厚的单层普通玻璃时的修正系数：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 xml:space="preserve"> =1：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rFonts w:hint="eastAsia"/>
          <w:kern w:val="2"/>
          <w:szCs w:val="24"/>
          <w:lang w:val="en-US"/>
        </w:rPr>
        <w:t>——窗日射得热量最大值(W/㎡)，如果选择了“精确计算坡屋顶等的太阳辐射得热”，将按坡屋顶的太阳辐射总照度计算方法计算精确值。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>
        <w:rPr>
          <w:rFonts w:hint="eastAsia"/>
          <w:kern w:val="2"/>
          <w:szCs w:val="24"/>
          <w:lang w:val="en-US"/>
        </w:rPr>
        <w:t>——冷负荷系数，分无内遮阳和有内遮阳；</w:t>
      </w:r>
    </w:p>
    <w:p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——北向（北纬20°、25°地区为南向）日射得热量的最大值；</w:t>
      </w:r>
    </w:p>
    <w:p>
      <w:pPr>
        <w:widowControl w:val="0"/>
        <w:ind w:firstLine="210" w:firstLineChars="1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——该时刻北向（北纬20°、25°地区为南向）的冷负荷系数。</w:t>
      </w:r>
    </w:p>
    <w:p>
      <w:pPr>
        <w:pStyle w:val="4"/>
        <w:spacing w:line="240" w:lineRule="atLeast"/>
        <w:rPr>
          <w:rFonts w:hint="eastAsia"/>
        </w:rPr>
      </w:pPr>
      <w:bookmarkStart w:id="13" w:name="_Toc495932543"/>
      <w:bookmarkStart w:id="14" w:name="_Toc240280509"/>
      <w:bookmarkStart w:id="15" w:name="_Toc179707475"/>
      <w:bookmarkStart w:id="16" w:name="_Toc239133099"/>
      <w:bookmarkStart w:id="17" w:name="_Toc179712228"/>
      <w:bookmarkStart w:id="18" w:name="_Toc178151563"/>
      <w:bookmarkStart w:id="19" w:name="_Toc178152069"/>
      <w:r>
        <w:rPr>
          <w:rFonts w:hint="eastAsia"/>
        </w:rPr>
        <w:t>外窗传热的冷负荷</w:t>
      </w:r>
      <w:bookmarkEnd w:id="10"/>
      <w:bookmarkEnd w:id="13"/>
      <w:bookmarkEnd w:id="14"/>
      <w:bookmarkEnd w:id="15"/>
      <w:bookmarkEnd w:id="16"/>
      <w:bookmarkEnd w:id="17"/>
      <w:bookmarkEnd w:id="18"/>
      <w:bookmarkEnd w:id="19"/>
    </w:p>
    <w:p>
      <w:r>
        <w:t xml:space="preserve">      </w:t>
      </w:r>
      <w:r>
        <w:rPr>
          <w:rFonts w:hint="eastAsia" w:ascii="宋体" w:hAnsi="宋体" w:cs="宋体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object>
          <v:shape id="_x0000_i1026" o:spt="75" type="#_x0000_t75" style="height:18.75pt;width:132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——玻璃窗传热冷负荷（W）；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——玻璃窗传热系数的修正系数；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——窗玻璃的传热系数[ W/（㎡·℃） ]；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>
      <w:pPr>
        <w:ind w:firstLine="0" w:firstLineChars="0"/>
        <w:jc w:val="center"/>
        <w:rPr>
          <w:rFonts w:hint="eastAsia"/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object>
          <v:shape id="_x0000_i1027" o:spt="75" type="#_x0000_t75" style="height:18.75pt;width:54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β——室外温度逐时变化系数；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r</w:t>
      </w:r>
      <w:r>
        <w:rPr>
          <w:rFonts w:hint="eastAsia"/>
          <w:kern w:val="2"/>
          <w:szCs w:val="24"/>
          <w:lang w:val="en-US"/>
        </w:rPr>
        <w:t>——夏季室外计算平均日较差（℃）。</w:t>
      </w:r>
    </w:p>
    <w:p>
      <w:pPr>
        <w:pStyle w:val="4"/>
        <w:spacing w:line="240" w:lineRule="atLeast"/>
        <w:rPr>
          <w:rFonts w:hint="eastAsia"/>
        </w:rPr>
      </w:pPr>
      <w:bookmarkStart w:id="20" w:name="_Toc179707476"/>
      <w:bookmarkStart w:id="21" w:name="_Toc240280510"/>
      <w:bookmarkStart w:id="22" w:name="_Toc178152070"/>
      <w:bookmarkStart w:id="23" w:name="_Toc495932544"/>
      <w:bookmarkStart w:id="24" w:name="_Toc453593138"/>
      <w:bookmarkStart w:id="25" w:name="_Toc239133100"/>
      <w:bookmarkStart w:id="26" w:name="_Toc179712229"/>
      <w:bookmarkStart w:id="27" w:name="_Toc178151564"/>
      <w:r>
        <w:rPr>
          <w:rFonts w:hint="eastAsia"/>
        </w:rPr>
        <w:t>外墙和屋盖的冷负荷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object>
          <v:shape id="_x0000_i1028" o:spt="75" type="#_x0000_t75" style="height:18.75pt;width:16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adjustRightInd w:val="0"/>
        <w:spacing w:line="360" w:lineRule="auto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——屋盖（或外墙）“计算时间”的冷负荷（W）；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——屋盖（或外墙）的传热系数[ W/（㎡·℃） ]；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——屋盖（或外墙）的面积(㎡)；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fp</w:t>
      </w:r>
      <w:r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>
      <w:pPr>
        <w:widowControl w:val="0"/>
        <w:ind w:firstLine="420" w:firstLineChars="20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29" o:spt="75" type="#_x0000_t75" style="height:36pt;width:60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>
        <w:rPr>
          <w:rFonts w:hint="eastAsia"/>
          <w:kern w:val="2"/>
          <w:szCs w:val="24"/>
          <w:lang w:val="en-US"/>
        </w:rPr>
        <w:t>——太阳辐射日平均照度(W/㎡)；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——围护结构外表面换热系数， 一般可取18.6W/（㎡·℃）；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ρ——围护结构外表面太阳辐射吸收系数 。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——室内计算温度。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>
      <w:pPr>
        <w:pStyle w:val="4"/>
        <w:spacing w:line="240" w:lineRule="atLeast"/>
      </w:pPr>
      <w:bookmarkStart w:id="28" w:name="_Toc239133101"/>
      <w:bookmarkStart w:id="29" w:name="_Toc179712230"/>
      <w:bookmarkStart w:id="30" w:name="_Toc178151565"/>
      <w:bookmarkStart w:id="31" w:name="_Toc240280511"/>
      <w:bookmarkStart w:id="32" w:name="_Toc453593139"/>
      <w:bookmarkStart w:id="33" w:name="_Toc179707477"/>
      <w:bookmarkStart w:id="34" w:name="_Toc178152071"/>
      <w:r>
        <w:rPr>
          <w:rFonts w:hint="eastAsia"/>
        </w:rPr>
        <w:t xml:space="preserve"> </w:t>
      </w:r>
      <w:bookmarkStart w:id="35" w:name="_Toc495932545"/>
      <w:r>
        <w:rPr>
          <w:rFonts w:hint="eastAsia"/>
        </w:rPr>
        <w:t>新风冷负荷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object>
          <v:shape id="_x0000_i1030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</w:rPr>
        <w:t>１－</w:t>
      </w:r>
      <w:r>
        <w:rPr>
          <w:rFonts w:hint="eastAsia" w:ascii="MS PGothic" w:hAnsi="MS PGothic" w:eastAsia="MS PGothic"/>
          <w:color w:val="000000"/>
        </w:rPr>
        <w:t>ηζ</w:t>
      </w:r>
      <w:r>
        <w:rPr>
          <w:color w:val="000000"/>
          <w:position w:val="-10"/>
          <w:lang w:val="en-US"/>
        </w:rPr>
        <w:object>
          <v:shape id="_x0000_i1031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</w:p>
    <w:p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η——全热回收效率（0～１），没有热回收时为０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ζ——排风比例（０～１），即热回收装置的排风量/新风量。</w:t>
      </w:r>
    </w:p>
    <w:p>
      <w:pPr>
        <w:pStyle w:val="4"/>
        <w:spacing w:line="240" w:lineRule="atLeast"/>
        <w:rPr>
          <w:rFonts w:hint="eastAsia"/>
        </w:rPr>
      </w:pPr>
      <w:bookmarkStart w:id="36" w:name="_Toc178151566"/>
      <w:bookmarkStart w:id="37" w:name="_Toc179707478"/>
      <w:bookmarkStart w:id="38" w:name="_Toc453593140"/>
      <w:bookmarkStart w:id="39" w:name="_Toc178152072"/>
      <w:bookmarkStart w:id="40" w:name="_Toc179712231"/>
      <w:bookmarkStart w:id="41" w:name="_Toc239133102"/>
      <w:bookmarkStart w:id="42" w:name="_Toc240280512"/>
      <w:r>
        <w:t xml:space="preserve"> </w:t>
      </w:r>
      <w:bookmarkStart w:id="43" w:name="_Toc495932546"/>
      <w:r>
        <w:rPr>
          <w:rFonts w:hint="eastAsia"/>
        </w:rPr>
        <w:t>内墙、内窗、楼板、地面的冷负荷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>
      <w:pPr>
        <w:widowControl w:val="0"/>
        <w:ind w:firstLine="420" w:firstLineChars="200"/>
        <w:jc w:val="both"/>
        <w:textAlignment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object>
          <v:shape id="_x0000_i1032" o:spt="75" type="#_x0000_t75" style="height:18.75pt;width:119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——通过内墙或楼板传热的冷负荷（W）；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——内墙或楼板的传热系数[ W/（㎡·℃） ]；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rFonts w:hint="eastAsia"/>
          <w:kern w:val="2"/>
          <w:szCs w:val="24"/>
          <w:lang w:val="en-US"/>
        </w:rPr>
        <w:t>——内墙或楼板的面积(㎡)；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position w:val="-10"/>
          <w:szCs w:val="24"/>
          <w:lang w:val="en-US"/>
        </w:rPr>
        <w:object>
          <v:shape id="_x0000_i1033" o:spt="75" type="#_x0000_t75" style="height:18pt;width:96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——邻室设计温度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内墙、内窗、楼板等围护结构的邻室为空气调节房间时，其室温与本房间温差小于3℃时，不计算冷负荷，反之亦按上式计算。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地面的冷负荷，舒适性空调房间夏季地面冷负荷可不必计算，对于工艺性空调房间，有外墙时，仅计算距外墙2M以内的地面传热作为冷负荷。即：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4" o:spt="75" type="#_x0000_t75" style="height:18.75pt;width:10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——地面冷负荷（W）；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——地面传热系数，无保温地面取K=0.52 W/（㎡·℃）；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——距外墙2米以内的地面面积(㎡)；</w:t>
      </w:r>
    </w:p>
    <w:p>
      <w:pPr>
        <w:pStyle w:val="4"/>
        <w:spacing w:line="240" w:lineRule="atLeast"/>
        <w:rPr>
          <w:rFonts w:hint="eastAsia"/>
        </w:rPr>
      </w:pPr>
      <w:bookmarkStart w:id="44" w:name="_Toc453593141"/>
      <w:bookmarkStart w:id="45" w:name="_Toc178152073"/>
      <w:bookmarkStart w:id="46" w:name="_Toc178151567"/>
      <w:bookmarkStart w:id="47" w:name="_Toc240280513"/>
      <w:bookmarkStart w:id="48" w:name="_Toc179707479"/>
      <w:bookmarkStart w:id="49" w:name="_Toc179712232"/>
      <w:bookmarkStart w:id="50" w:name="_Toc239133103"/>
      <w:r>
        <w:t xml:space="preserve"> </w:t>
      </w:r>
      <w:bookmarkStart w:id="51" w:name="_Toc495932547"/>
      <w:r>
        <w:rPr>
          <w:rFonts w:hint="eastAsia"/>
        </w:rPr>
        <w:t>渗透空气冷负荷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 xml:space="preserve">空调房间在室内维持不了正压的情况下，可以按以下方法计算：  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5" o:spt="75" type="#_x0000_t75" style="height:17.25pt;width:41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>
      <w:pPr>
        <w:widowControl w:val="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——门渗透空气量（m³/h）；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 w:type="textWrapping"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——每进入一人渗入的空气量（m³）。</w:t>
      </w:r>
    </w:p>
    <w:p>
      <w:pPr>
        <w:widowControl w:val="0"/>
        <w:ind w:left="420" w:left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6" o:spt="75" type="#_x0000_t75" style="height:30.75pt;width:99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rFonts w:hint="eastAsia"/>
          <w:kern w:val="2"/>
          <w:szCs w:val="24"/>
          <w:lang w:val="en-US"/>
        </w:rPr>
        <w:object>
          <v:shape id="_x0000_i1037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>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——夏季空调室外计算干球温度下的空气密度，一般可取ρ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 xml:space="preserve"> ＝1.13kg/m³；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——在夏季室外计算参数时的焓值；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——室内空气的焓值。</w:t>
      </w:r>
    </w:p>
    <w:p>
      <w:pPr>
        <w:widowControl w:val="0"/>
        <w:ind w:left="420" w:left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W（kg）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8" o:spt="75" type="#_x0000_t75" style="height:30.75pt;width:106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——在夏季室外计算参数时的含湿量（g/kg）；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——室内空气的含湿量（g/kg）。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其他符号与上同。</w:t>
      </w:r>
    </w:p>
    <w:p>
      <w:pPr>
        <w:pStyle w:val="4"/>
        <w:spacing w:line="240" w:lineRule="atLeast"/>
        <w:rPr>
          <w:rFonts w:hint="eastAsia"/>
        </w:rPr>
      </w:pPr>
      <w:bookmarkStart w:id="52" w:name="_Toc239133104"/>
      <w:bookmarkStart w:id="53" w:name="_Toc178152074"/>
      <w:bookmarkStart w:id="54" w:name="_Toc240280514"/>
      <w:bookmarkStart w:id="55" w:name="_Toc179712233"/>
      <w:bookmarkStart w:id="56" w:name="_Toc178151568"/>
      <w:bookmarkStart w:id="57" w:name="_Toc179707480"/>
      <w:bookmarkStart w:id="58" w:name="_Toc453593142"/>
      <w:r>
        <w:t xml:space="preserve"> </w:t>
      </w:r>
      <w:bookmarkStart w:id="59" w:name="_Toc495932548"/>
      <w:r>
        <w:rPr>
          <w:rFonts w:hint="eastAsia"/>
        </w:rPr>
        <w:t>设备冷负荷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39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T——热源投入使用的时刻（点钟）；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τ-T——从热源投入使用的时刻算起到计算时刻的时间（h）；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——τ-T时间设备、器具散热的冷负荷系数；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（2）热设备及热表面散热形成的冷负荷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（W），当不能确定连续使用的小时数时，按照下式估算：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0" o:spt="75" type="#_x0000_t75" style="height:18.75pt;width:51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——热源的计算散热量（W）。</w:t>
      </w:r>
    </w:p>
    <w:p>
      <w:pPr>
        <w:pStyle w:val="4"/>
        <w:spacing w:line="240" w:lineRule="atLeast"/>
        <w:rPr>
          <w:rFonts w:hint="eastAsia"/>
        </w:rPr>
      </w:pPr>
      <w:bookmarkStart w:id="60" w:name="_Toc179712234"/>
      <w:bookmarkStart w:id="61" w:name="_Toc179707481"/>
      <w:bookmarkStart w:id="62" w:name="_Toc239133105"/>
      <w:bookmarkStart w:id="63" w:name="_Toc178152075"/>
      <w:bookmarkStart w:id="64" w:name="_Toc240280515"/>
      <w:bookmarkStart w:id="65" w:name="_Toc178151569"/>
      <w:bookmarkStart w:id="66" w:name="_Toc453593143"/>
      <w:r>
        <w:t xml:space="preserve"> </w:t>
      </w:r>
      <w:bookmarkStart w:id="67" w:name="_Toc495932549"/>
      <w:r>
        <w:rPr>
          <w:rFonts w:hint="eastAsia"/>
        </w:rPr>
        <w:t>照明冷负荷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1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41" DrawAspect="Content" ObjectID="_1468075741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T——开灯时刻（点钟）；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τ-T——从开灯时刻算起到计算时刻的时间（h）；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——τ-T时间照明散热的冷负荷系数；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——照明设备的散热量（W）；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2" o:spt="75" type="#_x0000_t75" style="height:18.75pt;width:57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42" DrawAspect="Content" ObjectID="_1468075742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——蓄热系数，明装荧光灯可取0.9，暗装的荧光灯或明装的白炽灯可取0.85。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Qs（</w:t>
      </w:r>
      <w:r>
        <w:rPr>
          <w:rFonts w:hint="eastAsia" w:ascii="宋体" w:hAnsi="宋体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的值需要自行计算，计算过程如下：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对于明装的白炽灯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3" o:spt="75" type="#_x0000_t75" style="height:18pt;width:77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43" DrawAspect="Content" ObjectID="_1468075743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对于荧光灯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4" o:spt="75" type="#_x0000_t75" style="height:18pt;width:92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44" DrawAspect="Content" ObjectID="_1468075744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——照明设备的安装功率(kW)；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——同时使用系数，一般为0.5~0.8；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>
        <w:rPr>
          <w:rFonts w:hint="eastAsia"/>
          <w:kern w:val="2"/>
          <w:szCs w:val="24"/>
          <w:lang w:val="en-US"/>
        </w:rPr>
        <w:t>——整流器消耗功率的系数，当整流器在空调房间内时取1.2；当整流器在吊顶内时取1.0；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>
        <w:rPr>
          <w:rFonts w:hint="eastAsia"/>
          <w:kern w:val="2"/>
          <w:szCs w:val="24"/>
          <w:lang w:val="en-US"/>
        </w:rPr>
        <w:t>——安装系数，明装时取1.0；暗装且灯罩上部穿有小孔时取0.5~0.6；暗装灯罩上无孔时，视吊顶内的通风情况取0.6~0.8；灯具回风时可取0.35.</w:t>
      </w:r>
    </w:p>
    <w:p>
      <w:pPr>
        <w:pStyle w:val="4"/>
        <w:spacing w:line="240" w:lineRule="atLeast"/>
        <w:rPr>
          <w:rFonts w:hint="eastAsia"/>
        </w:rPr>
      </w:pPr>
      <w:bookmarkStart w:id="68" w:name="_Toc178151570"/>
      <w:bookmarkStart w:id="69" w:name="_Toc240280516"/>
      <w:bookmarkStart w:id="70" w:name="_Toc453593144"/>
      <w:bookmarkStart w:id="71" w:name="_Toc239133106"/>
      <w:bookmarkStart w:id="72" w:name="_Toc179712235"/>
      <w:bookmarkStart w:id="73" w:name="_Toc179707482"/>
      <w:bookmarkStart w:id="74" w:name="_Toc178152076"/>
      <w:r>
        <w:t xml:space="preserve"> </w:t>
      </w:r>
      <w:bookmarkStart w:id="75" w:name="_Toc495932550"/>
      <w:r>
        <w:rPr>
          <w:rFonts w:hint="eastAsia"/>
        </w:rPr>
        <w:t>人体冷负荷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（1）显热冷负荷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人体的显热散热量中辐射部分约占2/3，存在蓄热滞后的问题。显热散热形成的计算时刻冷负荷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5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45" DrawAspect="Content" ObjectID="_1468075745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T——人员进入房间的时刻（点钟）；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τ-T——从人员进入房间时算起到计算时刻的时间（h）；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——τ-T时间人体显热散热的冷负荷系数；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——人体显热的散热量（W）；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6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46" DrawAspect="Content" ObjectID="_1468075746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——空调房间内的人员总数；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φ——群集系数，男子、女子、儿童折合成成年男子的散热比例；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>
        <w:rPr>
          <w:rFonts w:hint="eastAsia"/>
          <w:kern w:val="2"/>
          <w:szCs w:val="24"/>
          <w:lang w:val="en-US"/>
        </w:rPr>
        <w:t>——每名成年男子的显热散热量（W）。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（2）潜热冷负荷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7" o:spt="75" type="#_x0000_t75" style="height:18.75pt;width:5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47" DrawAspect="Content" ObjectID="_1468075747">
            <o:LockedField>false</o:LockedField>
          </o:OLEObject>
        </w:objec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式中：.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——每名男子的潜热散热量（W） 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其余符号与（1）中所述一致。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>
      <w:pPr>
        <w:widowControl w:val="0"/>
        <w:jc w:val="both"/>
        <w:rPr>
          <w:rFonts w:hint="eastAsia"/>
          <w:color w:val="000000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8" o:spt="75" type="#_x0000_t75" style="height:18.75pt;width:60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8" DrawAspect="Content" ObjectID="_1468075748">
            <o:LockedField>false</o:LockedField>
          </o:OLEObject>
        </w:object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>
      <w:pPr>
        <w:pStyle w:val="4"/>
        <w:spacing w:line="240" w:lineRule="atLeast"/>
        <w:rPr>
          <w:rFonts w:hint="eastAsia"/>
        </w:rPr>
      </w:pPr>
      <w:bookmarkStart w:id="76" w:name="_Toc453593145"/>
      <w:bookmarkStart w:id="77" w:name="_Toc240280517"/>
      <w:bookmarkStart w:id="78" w:name="_Toc239133107"/>
      <w:r>
        <w:rPr>
          <w:rFonts w:hint="eastAsia"/>
        </w:rPr>
        <w:t xml:space="preserve"> </w:t>
      </w:r>
      <w:bookmarkStart w:id="79" w:name="_Toc495932551"/>
      <w:r>
        <w:rPr>
          <w:rFonts w:hint="eastAsia"/>
        </w:rPr>
        <w:t>冷负荷的修正</w:t>
      </w:r>
      <w:bookmarkEnd w:id="76"/>
      <w:bookmarkEnd w:id="77"/>
      <w:bookmarkEnd w:id="78"/>
      <w:bookmarkEnd w:id="79"/>
    </w:p>
    <w:p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>（1）间歇附加系数</w:t>
      </w:r>
    </w:p>
    <w:p>
      <w:pPr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(工作前开机)0.5~1小时或更多时间，则不需附加。对于以围护结构负荷为主的房间(如办公楼)，则需要将计算出的冷负荷乘以间歇负荷系数。</w:t>
      </w:r>
    </w:p>
    <w:p>
      <w:pPr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（2）轻型附加系数</w:t>
      </w:r>
    </w:p>
    <w:p>
      <w:pPr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每平方空调面积的围护结构的材料重量小于150kg的称为轻型结构。由于轻型结构的蓄热能力小，对波动负荷衰减少，故需增加一个附加系数。</w:t>
      </w:r>
    </w:p>
    <w:p>
      <w:pPr>
        <w:spacing w:line="240" w:lineRule="auto"/>
        <w:rPr>
          <w:rFonts w:hint="eastAsia"/>
          <w:color w:val="000000"/>
        </w:rPr>
      </w:pPr>
      <w:bookmarkStart w:id="80" w:name="_Toc178151571"/>
      <w:bookmarkStart w:id="81" w:name="_Toc179712236"/>
      <w:bookmarkStart w:id="82" w:name="_Toc179707483"/>
      <w:bookmarkStart w:id="83" w:name="_Toc178152077"/>
      <w:r>
        <w:rPr>
          <w:rFonts w:hint="eastAsia"/>
          <w:color w:val="000000"/>
        </w:rPr>
        <w:t>（3）其它附加系数</w:t>
      </w:r>
    </w:p>
    <w:p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1的适当的值；对于其它情况若考虑的不足或过多时也可以设置“其它附加系数”来修正。</w:t>
      </w:r>
      <w:bookmarkEnd w:id="80"/>
      <w:bookmarkEnd w:id="81"/>
      <w:bookmarkEnd w:id="82"/>
      <w:bookmarkEnd w:id="83"/>
    </w:p>
    <w:p>
      <w:pPr>
        <w:pStyle w:val="2"/>
        <w:rPr>
          <w:szCs w:val="24"/>
          <w:lang w:val="en-US"/>
        </w:rPr>
      </w:pPr>
      <w:r>
        <w:rPr>
          <w:szCs w:val="24"/>
          <w:lang w:val="en-US"/>
        </w:rPr>
        <w:t>外围护构造</w:t>
      </w:r>
    </w:p>
    <w:p>
      <w:pPr>
        <w:pStyle w:val="4"/>
        <w:rPr>
          <w:szCs w:val="24"/>
          <w:lang w:val="en-US"/>
        </w:rPr>
      </w:pPr>
      <w:r>
        <w:rPr>
          <w:szCs w:val="24"/>
          <w:lang w:val="en-US"/>
        </w:rPr>
        <w:t>屋顶构造一</w:t>
      </w:r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水泥膨胀蛭石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3.554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1.875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5.031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0.491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96.95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13.24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0.14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r>
        <w:rPr>
          <w:szCs w:val="24"/>
          <w:lang w:val="en-US"/>
        </w:rPr>
        <w:t>外墙构造一</w:t>
      </w:r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聚氨酯泡沫塑料(ρ=55-70)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石灰水泥砂浆（混合砂浆）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2.946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0.699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73.29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6.92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0.13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r>
        <w:rPr>
          <w:szCs w:val="24"/>
          <w:lang w:val="en-US"/>
        </w:rPr>
        <w:t>热桥板构造一</w:t>
      </w:r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膨胀珍珠岩(ρ=80)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聚合物保温砂浆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1.591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石灰水泥砂浆（混合砂浆）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3.551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0.727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42.44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9.02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0.21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r>
        <w:rPr>
          <w:szCs w:val="24"/>
          <w:lang w:val="en-US"/>
        </w:rPr>
        <w:t>挑空楼板构造一</w:t>
      </w:r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膨胀珍珠岩(ρ=80)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聚合物保温砂浆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1.591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石灰水泥砂浆（混合砂浆）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3.551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0.727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42.44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9.02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0.21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  <w:lang w:val="en-US"/>
        </w:rPr>
      </w:pPr>
      <w:r>
        <w:rPr>
          <w:szCs w:val="24"/>
          <w:lang w:val="en-US"/>
        </w:rPr>
        <w:t>内围护构造</w:t>
      </w:r>
    </w:p>
    <w:p>
      <w:pPr>
        <w:pStyle w:val="4"/>
        <w:rPr>
          <w:szCs w:val="24"/>
          <w:lang w:val="en-US"/>
        </w:rPr>
      </w:pPr>
      <w:r>
        <w:rPr>
          <w:szCs w:val="24"/>
          <w:lang w:val="en-US"/>
        </w:rPr>
        <w:t>控温房间隔墙构造一</w:t>
      </w:r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7.49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1.925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9.97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6.37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0.34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r>
        <w:rPr>
          <w:szCs w:val="24"/>
          <w:lang w:val="en-US"/>
        </w:rPr>
        <w:t>楼梯间隔墙构造一</w:t>
      </w:r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7.49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1.925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9.97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6.37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0.34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r>
        <w:rPr>
          <w:szCs w:val="24"/>
          <w:lang w:val="en-US"/>
        </w:rPr>
        <w:t>控温与非控温隔墙构造一</w:t>
      </w:r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7.49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1.925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9.97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6.37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0.34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r>
        <w:rPr>
          <w:szCs w:val="24"/>
          <w:lang w:val="en-US"/>
        </w:rPr>
        <w:t>控温房间楼板构造一</w:t>
      </w:r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膨胀珍珠岩(ρ=80)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聚合物保温砂浆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1.591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石灰水泥砂浆（混合砂浆）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3.551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0.696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0.732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9.43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0.19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r>
        <w:rPr>
          <w:szCs w:val="24"/>
          <w:lang w:val="en-US"/>
        </w:rPr>
        <w:t>控温与非控温楼板构造一</w:t>
      </w:r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膨胀珍珠岩(ρ=80)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聚合物保温砂浆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1.591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石灰水泥砂浆（混合砂浆）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3.551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0.696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0.732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9.43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0.19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  <w:lang w:val="en-US"/>
        </w:rPr>
      </w:pPr>
      <w:r>
        <w:rPr>
          <w:szCs w:val="24"/>
          <w:lang w:val="en-US"/>
        </w:rPr>
        <w:t>封闭阳台构造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>
      <w:pPr>
        <w:pStyle w:val="2"/>
        <w:rPr>
          <w:szCs w:val="24"/>
          <w:lang w:val="en-US"/>
        </w:rPr>
      </w:pPr>
      <w:r>
        <w:rPr>
          <w:szCs w:val="24"/>
          <w:lang w:val="en-US"/>
        </w:rPr>
        <w:t>地下围护构造</w:t>
      </w:r>
    </w:p>
    <w:p>
      <w:pPr>
        <w:pStyle w:val="4"/>
        <w:rPr>
          <w:szCs w:val="24"/>
          <w:lang w:val="en-US"/>
        </w:rPr>
      </w:pPr>
      <w:r>
        <w:rPr>
          <w:szCs w:val="24"/>
          <w:lang w:val="en-US"/>
        </w:rPr>
        <w:t>周边地面</w:t>
      </w:r>
    </w:p>
    <w:p>
      <w:pPr>
        <w:pStyle w:val="5"/>
        <w:rPr>
          <w:szCs w:val="24"/>
          <w:lang w:val="en-US"/>
        </w:rPr>
      </w:pPr>
      <w:r>
        <w:rPr>
          <w:szCs w:val="24"/>
          <w:lang w:val="en-US"/>
        </w:rPr>
        <w:t>周边地面构造一</w:t>
      </w:r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0.520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32.45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0.39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r>
        <w:rPr>
          <w:szCs w:val="24"/>
          <w:lang w:val="en-US"/>
        </w:rPr>
        <w:t>非周边地面</w:t>
      </w:r>
    </w:p>
    <w:p>
      <w:pPr>
        <w:pStyle w:val="5"/>
        <w:rPr>
          <w:szCs w:val="24"/>
          <w:lang w:val="en-US"/>
        </w:rPr>
      </w:pPr>
      <w:r>
        <w:rPr>
          <w:szCs w:val="24"/>
          <w:lang w:val="en-US"/>
        </w:rPr>
        <w:t>非周边地面构造一</w:t>
      </w:r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32.45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0.67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  <w:lang w:val="en-US"/>
        </w:rPr>
      </w:pPr>
      <w:r>
        <w:rPr>
          <w:szCs w:val="24"/>
          <w:lang w:val="en-US"/>
        </w:rPr>
        <w:t>窗构造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6mm空气中空玻璃PA断热铝合金窗（下限）</w:t>
            </w:r>
          </w:p>
        </w:tc>
        <w:tc>
          <w:tcPr>
            <w:vAlign w:val="center"/>
          </w:tcPr>
          <w:p>
            <w:r>
              <w:t>3.18</w:t>
            </w:r>
          </w:p>
        </w:tc>
        <w:tc>
          <w:tcPr>
            <w:vAlign w:val="center"/>
          </w:tcPr>
          <w:p>
            <w:r>
              <w:t>0.80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6mm空气Low-E中空玻璃塑料窗（上限）</w:t>
            </w:r>
          </w:p>
        </w:tc>
        <w:tc>
          <w:tcPr>
            <w:vAlign w:val="center"/>
          </w:tcPr>
          <w:p>
            <w:r>
              <w:t>2.63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</w:tbl>
    <w:p>
      <w:pPr>
        <w:pStyle w:val="2"/>
        <w:rPr>
          <w:szCs w:val="24"/>
          <w:lang w:val="en-US"/>
        </w:rPr>
      </w:pPr>
      <w:r>
        <w:rPr>
          <w:szCs w:val="24"/>
          <w:lang w:val="en-US"/>
        </w:rPr>
        <w:t>门构造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保温门（多功能门）</w:t>
            </w:r>
          </w:p>
        </w:tc>
        <w:tc>
          <w:tcPr>
            <w:vAlign w:val="center"/>
          </w:tcPr>
          <w:p>
            <w:r>
              <w:t>1.97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单层实体门</w:t>
            </w:r>
          </w:p>
        </w:tc>
        <w:tc>
          <w:tcPr>
            <w:vAlign w:val="center"/>
          </w:tcPr>
          <w:p>
            <w:r>
              <w:t>2.30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内门</w:t>
            </w:r>
          </w:p>
        </w:tc>
        <w:tc>
          <w:tcPr>
            <w:vAlign w:val="center"/>
          </w:tcPr>
          <w:p>
            <w:r>
              <w:t>3.00</w:t>
            </w:r>
          </w:p>
        </w:tc>
      </w:tr>
    </w:tbl>
    <w:p>
      <w:pPr>
        <w:pStyle w:val="2"/>
        <w:rPr>
          <w:szCs w:val="24"/>
          <w:lang w:val="en-US"/>
        </w:rPr>
      </w:pPr>
      <w:r>
        <w:rPr>
          <w:szCs w:val="24"/>
          <w:lang w:val="en-US"/>
        </w:rPr>
        <w:t>负荷指标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14988</w:t>
            </w:r>
          </w:p>
        </w:tc>
        <w:tc>
          <w:tcPr>
            <w:vAlign w:val="center"/>
          </w:tcPr>
          <w:p>
            <w:r>
              <w:t>301.90</w:t>
            </w:r>
          </w:p>
        </w:tc>
        <w:tc>
          <w:tcPr>
            <w:vAlign w:val="center"/>
          </w:tcPr>
          <w:p>
            <w:r>
              <w:t>49.65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r>
              <w:t>160.49</w:t>
            </w:r>
          </w:p>
        </w:tc>
        <w:tc>
          <w:tcPr>
            <w:vAlign w:val="center"/>
          </w:tcPr>
          <w:p>
            <w:r>
              <w:t>93.39</w:t>
            </w:r>
          </w:p>
        </w:tc>
      </w:tr>
    </w:tbl>
    <w:p>
      <w:pPr>
        <w:pStyle w:val="2"/>
        <w:rPr>
          <w:szCs w:val="24"/>
          <w:lang w:val="en-US"/>
        </w:rPr>
      </w:pPr>
      <w:r>
        <w:rPr>
          <w:szCs w:val="24"/>
          <w:lang w:val="en-US"/>
        </w:rPr>
        <w:t>建筑按楼层汇总表</w:t>
      </w:r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622"/>
        <w:gridCol w:w="1641"/>
        <w:gridCol w:w="848"/>
        <w:gridCol w:w="764"/>
        <w:gridCol w:w="764"/>
        <w:gridCol w:w="764"/>
        <w:gridCol w:w="764"/>
        <w:gridCol w:w="905"/>
        <w:gridCol w:w="730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户型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1001[起居室]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95.31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X002[主卧室]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X008[次卧室]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82.21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X009[餐厅]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93.73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X011[起居室]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105.47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114.65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9853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8298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85.94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X001[主卧室]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120.56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X007[主卧室]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120.47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45.84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5499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4803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0.98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119.97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3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160.49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14988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12737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2251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3.16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2769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93.39</w:t>
            </w:r>
          </w:p>
        </w:tc>
      </w:tr>
    </w:tbl>
    <w:p>
      <w:pPr>
        <w:pStyle w:val="2"/>
        <w:rPr>
          <w:szCs w:val="24"/>
          <w:lang w:val="en-US"/>
        </w:rPr>
      </w:pPr>
      <w:r>
        <w:rPr>
          <w:szCs w:val="24"/>
          <w:lang w:val="en-US"/>
        </w:rPr>
        <w:t>新风负荷表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679"/>
        <w:gridCol w:w="1630"/>
        <w:gridCol w:w="848"/>
        <w:gridCol w:w="962"/>
        <w:gridCol w:w="905"/>
        <w:gridCol w:w="905"/>
        <w:gridCol w:w="905"/>
        <w:gridCol w:w="905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户型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1001[起居室]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X002[主卧室]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X008[次卧室]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X009[餐厅]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X011[起居室]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183.44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X001[主卧室]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X007[主卧室]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43.68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0.84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264.25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2769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17.25</w:t>
            </w:r>
          </w:p>
        </w:tc>
      </w:tr>
    </w:tbl>
    <w:p>
      <w:pPr>
        <w:sectPr>
          <w:footerReference r:id="rId5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rPr>
          <w:szCs w:val="24"/>
          <w:lang w:val="en-US"/>
        </w:rPr>
      </w:pPr>
      <w:r>
        <w:rPr>
          <w:szCs w:val="24"/>
          <w:lang w:val="en-US"/>
        </w:rPr>
        <w:t>房间冷负荷详细表</w:t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1001[起居室]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0.50(次/h)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K=0.51 D=6.13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 D=2.95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 D=2.95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K=3.18 SC=0.80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X002[主卧室]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0.50(次/h)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K=0.51 D=6.13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 D=2.95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 D=2.95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 D=2.95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K=3.18 SC=0.80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X008[次卧室]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0.50(次/h)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K=0.51 D=6.13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 D=2.95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 D=2.95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 D=2.95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K=3.18 SC=0.80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X009[餐厅]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0.50(次/h)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K=0.51 D=6.13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 D=2.95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 D=2.95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 D=2.95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K=3.18 SC=0.80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K=3.18 SC=0.80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K=3.18 SC=0.80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X011[起居室]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0.50(次/h)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K=0.51 D=6.13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 D=2.95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 D=2.95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K=3.18 SC=0.80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X001[主卧室]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0.50(次/h)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K=0.51 D=6.13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 D=2.95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 D=2.95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 D=2.95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K=3.18 SC=0.80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天窗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K=2.63 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  <w:bookmarkEnd w:id="0"/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X007[主卧室]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0.50(次/h)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K=0.51 D=6.13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 D=2.95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 D=2.95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 D=2.95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K=3.18 SC=0.80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天窗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K=2.63 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K=0.73 D=3.55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  <w:bookmarkEnd w:id="11"/>
    </w:tbl>
    <w:p>
      <w:pPr>
        <w:rPr>
          <w:szCs w:val="24"/>
          <w:lang w:val="en-US"/>
        </w:rPr>
      </w:pPr>
    </w:p>
    <w:p>
      <w:pPr>
        <w:rPr>
          <w:szCs w:val="24"/>
          <w:lang w:val="en-US"/>
        </w:rPr>
      </w:pPr>
    </w:p>
    <w:sectPr>
      <w:footerReference r:id="rId6" w:type="default"/>
      <w:pgSz w:w="16838" w:h="11906" w:orient="landscape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31A81"/>
    <w:rsid w:val="001915A3"/>
    <w:rsid w:val="00217F62"/>
    <w:rsid w:val="00A906D8"/>
    <w:rsid w:val="00AB5A74"/>
    <w:rsid w:val="00F071AE"/>
    <w:rsid w:val="7733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bmp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26.wmf"/><Relationship Id="rId31" Type="http://schemas.openxmlformats.org/officeDocument/2006/relationships/image" Target="media/image25.wmf"/><Relationship Id="rId30" Type="http://schemas.openxmlformats.org/officeDocument/2006/relationships/image" Target="media/image24.wmf"/><Relationship Id="rId3" Type="http://schemas.openxmlformats.org/officeDocument/2006/relationships/header" Target="head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wmf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image" Target="media/image10.wmf"/><Relationship Id="rId15" Type="http://schemas.openxmlformats.org/officeDocument/2006/relationships/image" Target="media/image9.wmf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wmf"/><Relationship Id="rId11" Type="http://schemas.openxmlformats.org/officeDocument/2006/relationships/image" Target="media/image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25</Pages>
  <Words>11694</Words>
  <Characters>28482</Characters>
  <Lines>8</Lines>
  <Paragraphs>2</Paragraphs>
  <TotalTime>14</TotalTime>
  <ScaleCrop>false</ScaleCrop>
  <LinksUpToDate>false</LinksUpToDate>
  <CharactersWithSpaces>28961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2021-12-28T12:18:00Z</dcterms:created>
  <dc:creator>冷杉</dc:creator>
  <cp:lastModifiedBy>冷杉</cp:lastModifiedBy>
  <dcterms:modified xsi:type="dcterms:W3CDTF">2021-12-28T12:19:21Z</dcterms:modified>
  <dc:title>冷负荷计算书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E38350171C5349EB84A9C910B9AFE3F7</vt:lpwstr>
  </property>
  <property fmtid="{D5CDD505-2E9C-101B-9397-08002B2CF9AE}" pid="3" name="KSOProductBuildVer">
    <vt:lpwstr>2052-11.1.0.11194</vt:lpwstr>
  </property>
</Properties>
</file>