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2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给排水竣工图纸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）地漏、自带水封便器、水箱</w:t>
            </w:r>
            <w:r>
              <w:rPr>
                <w:rFonts w:ascii="Times New Roman" w:hAnsi="Times New Roman" w:eastAsia="宋体" w:cs="Times New Roman"/>
                <w:szCs w:val="21"/>
              </w:rPr>
              <w:t>、消毒用品、消毒器具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产品说明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书；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各用水部门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水质检测报告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）清洗</w:t>
            </w:r>
            <w:r>
              <w:rPr>
                <w:rFonts w:ascii="Times New Roman" w:hAnsi="Times New Roman" w:eastAsia="宋体" w:cs="Times New Roman"/>
                <w:szCs w:val="21"/>
              </w:rPr>
              <w:t>消毒管理制度和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储水</w:t>
            </w:r>
            <w:r>
              <w:rPr>
                <w:rFonts w:ascii="Times New Roman" w:hAnsi="Times New Roman" w:eastAsia="宋体" w:cs="Times New Roman"/>
                <w:szCs w:val="21"/>
              </w:rPr>
              <w:t>设施清洗消毒工作记录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098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往夏</cp:lastModifiedBy>
  <dcterms:modified xsi:type="dcterms:W3CDTF">2022-03-06T08:27:33Z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958F87B6C25A4986853E6C5E1F8F3E89</vt:lpwstr>
  </property>
</Properties>
</file>