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3E9D" w14:textId="77777777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14:paraId="6672E347" w14:textId="77777777"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14:paraId="505BA6DF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6085F741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0E6B5800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71BB43E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0CDE89DD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14:paraId="4E4CCC49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671D8CB4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73ABD178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14:paraId="218FE101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27B7B94F" w14:textId="24C30D57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F4A33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02AC" w:rsidRPr="0048487C" w14:paraId="124BBA4C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7345FC62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EF04312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14:paraId="4249F2F7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29FAB703" w14:textId="69E37D0C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F4A3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A02AC" w:rsidRPr="0048487C" w14:paraId="3BADAD69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7E369EAB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1071F4A5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14:paraId="7EC30E6B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1C0D0CB8" w14:textId="57412946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F4A3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2DA15442" w14:textId="77777777" w:rsidTr="005A4BEF">
        <w:trPr>
          <w:jc w:val="center"/>
        </w:trPr>
        <w:tc>
          <w:tcPr>
            <w:tcW w:w="5780" w:type="dxa"/>
            <w:gridSpan w:val="2"/>
          </w:tcPr>
          <w:p w14:paraId="10E2625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7E2C11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3115D536" w14:textId="79D93C31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CF4A3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212A2113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843991C" w14:textId="4518663C" w:rsidR="000A02AC" w:rsidRDefault="000A02AC" w:rsidP="00537338"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F4A3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14:paraId="0455C4C1" w14:textId="77777777"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1E5F7D14" w14:textId="77777777" w:rsidTr="00537338">
        <w:trPr>
          <w:trHeight w:val="2500"/>
          <w:jc w:val="center"/>
        </w:trPr>
        <w:tc>
          <w:tcPr>
            <w:tcW w:w="9356" w:type="dxa"/>
          </w:tcPr>
          <w:p w14:paraId="6969E412" w14:textId="15476E99" w:rsidR="000A02AC" w:rsidRPr="00537338" w:rsidRDefault="00CF4A33" w:rsidP="00CF4A33">
            <w:pPr>
              <w:ind w:firstLineChars="100" w:firstLine="200"/>
              <w:rPr>
                <w:szCs w:val="21"/>
              </w:rPr>
            </w:pPr>
            <w:r>
              <w:t>积极进行社区内部的绿色宣传</w:t>
            </w:r>
            <w:r>
              <w:t>,</w:t>
            </w:r>
            <w:r>
              <w:t>每年组织</w:t>
            </w:r>
            <w:r>
              <w:t>3-5</w:t>
            </w:r>
            <w:r>
              <w:t>次的绿色建筑技术宣传，绿色生活引导，灾害应急演练等绿色教育宣传和实践活动，并有相关的活动记录，具有绿色生活展示，体验和交流分享的平台，并给使用者提供绿色设施使用手册，每年开展两次针对建筑绿色性能的使用者满意度调查，并且根据调查结果制定改进措施并实施，公示，在小区内放置宣传绿色生活的海报，倡导人们绿色生活。</w:t>
            </w:r>
          </w:p>
        </w:tc>
      </w:tr>
    </w:tbl>
    <w:p w14:paraId="504E2961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1964228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C74E327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0B3B3B38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14:paraId="7A5B83F8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23E2BCE1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4C74B9E9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4FABE61F" w14:textId="77777777" w:rsidTr="00537338">
        <w:trPr>
          <w:trHeight w:val="2343"/>
          <w:jc w:val="center"/>
        </w:trPr>
        <w:tc>
          <w:tcPr>
            <w:tcW w:w="9356" w:type="dxa"/>
          </w:tcPr>
          <w:p w14:paraId="350D05FF" w14:textId="77777777"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14:paraId="10A80EF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522C" w14:textId="77777777" w:rsidR="00310C38" w:rsidRDefault="00310C38" w:rsidP="000A02AC">
      <w:r>
        <w:separator/>
      </w:r>
    </w:p>
  </w:endnote>
  <w:endnote w:type="continuationSeparator" w:id="0">
    <w:p w14:paraId="74988B59" w14:textId="77777777" w:rsidR="00310C38" w:rsidRDefault="00310C38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9AD0" w14:textId="77777777" w:rsidR="00310C38" w:rsidRDefault="00310C38" w:rsidP="000A02AC">
      <w:r>
        <w:separator/>
      </w:r>
    </w:p>
  </w:footnote>
  <w:footnote w:type="continuationSeparator" w:id="0">
    <w:p w14:paraId="548D938E" w14:textId="77777777" w:rsidR="00310C38" w:rsidRDefault="00310C38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74A38"/>
    <w:rsid w:val="000A02AC"/>
    <w:rsid w:val="00310C38"/>
    <w:rsid w:val="00537338"/>
    <w:rsid w:val="009F48DD"/>
    <w:rsid w:val="00AC69A0"/>
    <w:rsid w:val="00C51451"/>
    <w:rsid w:val="00C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3370A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6"/>
    <w:rsid w:val="002574C7"/>
    <w:rsid w:val="00263BBA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孙 坤</cp:lastModifiedBy>
  <cp:revision>5</cp:revision>
  <dcterms:created xsi:type="dcterms:W3CDTF">2019-07-12T08:02:00Z</dcterms:created>
  <dcterms:modified xsi:type="dcterms:W3CDTF">2022-03-11T07:07:00Z</dcterms:modified>
</cp:coreProperties>
</file>