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北京鼓楼片区四合院绿色改造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2021年12月29日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pict>
          <v:shape id="_x0000_i1025" o:spt="75" type="#_x0000_t75" style="height:119.4pt;width:119.4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T13164245106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"_Toc91629541" </w:instrText>
      </w:r>
      <w:r>
        <w:fldChar w:fldCharType="separate"/>
      </w:r>
      <w:r>
        <w:rPr>
          <w:rStyle w:val="22"/>
        </w:rPr>
        <w:t>1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_Toc91629541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"_Toc91629542" </w:instrText>
      </w:r>
      <w:r>
        <w:fldChar w:fldCharType="separate"/>
      </w:r>
      <w:r>
        <w:rPr>
          <w:rStyle w:val="22"/>
        </w:rPr>
        <w:t>2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_Toc91629542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"_Toc91629543" </w:instrText>
      </w:r>
      <w:r>
        <w:fldChar w:fldCharType="separate"/>
      </w:r>
      <w:r>
        <w:rPr>
          <w:rStyle w:val="22"/>
        </w:rPr>
        <w:t>3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_Toc91629543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"_Toc91629544"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="Calibri" w:hAnsi="Calibr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_Toc91629544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"_Toc91629545"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="Calibri" w:hAnsi="Calibr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_Toc91629545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"_Toc91629546"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="Calibri" w:hAnsi="Calibr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_Toc91629546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"_Toc91629547" </w:instrText>
      </w:r>
      <w:r>
        <w:fldChar w:fldCharType="separate"/>
      </w:r>
      <w:r>
        <w:rPr>
          <w:rStyle w:val="22"/>
          <w:lang w:val="en-GB"/>
        </w:rPr>
        <w:t>3.3.1</w:t>
      </w:r>
      <w:r>
        <w:rPr>
          <w:rFonts w:ascii="Calibri" w:hAnsi="Calibr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_Toc91629547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"_Toc91629548" </w:instrText>
      </w:r>
      <w:r>
        <w:fldChar w:fldCharType="separate"/>
      </w:r>
      <w:r>
        <w:rPr>
          <w:rStyle w:val="22"/>
          <w:lang w:val="en-GB"/>
        </w:rPr>
        <w:t>3.3.2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外窗表</w:t>
      </w:r>
      <w:r>
        <w:tab/>
      </w:r>
      <w:r>
        <w:fldChar w:fldCharType="begin"/>
      </w:r>
      <w:r>
        <w:instrText xml:space="preserve"> PAGEREF _Toc91629548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"_Toc91629549"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="Calibri" w:hAnsi="Calibri"/>
          <w:szCs w:val="22"/>
        </w:rPr>
        <w:tab/>
      </w:r>
      <w:r>
        <w:rPr>
          <w:rStyle w:val="22"/>
        </w:rPr>
        <w:t>屋顶</w:t>
      </w:r>
      <w:r>
        <w:tab/>
      </w:r>
      <w:r>
        <w:fldChar w:fldCharType="begin"/>
      </w:r>
      <w:r>
        <w:instrText xml:space="preserve"> PAGEREF _Toc91629549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"_Toc91629550" </w:instrText>
      </w:r>
      <w:r>
        <w:fldChar w:fldCharType="separate"/>
      </w:r>
      <w:r>
        <w:rPr>
          <w:rStyle w:val="22"/>
          <w:lang w:val="en-GB"/>
        </w:rPr>
        <w:t>3.4.1</w:t>
      </w:r>
      <w:r>
        <w:rPr>
          <w:rFonts w:ascii="Calibri" w:hAnsi="Calibr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_Toc91629550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"_Toc91629551"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="Calibri" w:hAnsi="Calibri"/>
          <w:szCs w:val="22"/>
        </w:rPr>
        <w:tab/>
      </w:r>
      <w:r>
        <w:rPr>
          <w:rStyle w:val="22"/>
        </w:rPr>
        <w:t>外墙</w:t>
      </w:r>
      <w:r>
        <w:tab/>
      </w:r>
      <w:r>
        <w:fldChar w:fldCharType="begin"/>
      </w:r>
      <w:r>
        <w:instrText xml:space="preserve"> PAGEREF _Toc91629551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"_Toc91629552"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="Calibri" w:hAnsi="Calibr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_Toc91629552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"_Toc91629553" </w:instrText>
      </w:r>
      <w:r>
        <w:fldChar w:fldCharType="separate"/>
      </w:r>
      <w:r>
        <w:rPr>
          <w:rStyle w:val="22"/>
          <w:lang w:val="en-GB"/>
        </w:rPr>
        <w:t>3.5.2</w:t>
      </w:r>
      <w:r>
        <w:rPr>
          <w:rFonts w:ascii="Calibri" w:hAnsi="Calibri"/>
          <w:szCs w:val="22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_Toc91629553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"_Toc91629554" </w:instrText>
      </w:r>
      <w:r>
        <w:fldChar w:fldCharType="separate"/>
      </w:r>
      <w:r>
        <w:rPr>
          <w:rStyle w:val="22"/>
          <w:lang w:val="en-GB"/>
        </w:rPr>
        <w:t>3.5.3</w:t>
      </w:r>
      <w:r>
        <w:rPr>
          <w:rFonts w:ascii="Calibri" w:hAnsi="Calibr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_Toc91629554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"_Toc91629555"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="Calibri" w:hAnsi="Calibri"/>
          <w:szCs w:val="22"/>
        </w:rPr>
        <w:tab/>
      </w:r>
      <w:r>
        <w:rPr>
          <w:rStyle w:val="22"/>
        </w:rPr>
        <w:t>挑空楼板</w:t>
      </w:r>
      <w:r>
        <w:tab/>
      </w:r>
      <w:r>
        <w:fldChar w:fldCharType="begin"/>
      </w:r>
      <w:r>
        <w:instrText xml:space="preserve"> PAGEREF _Toc91629555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"_Toc91629556"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="Calibri" w:hAnsi="Calibri"/>
          <w:szCs w:val="22"/>
        </w:rPr>
        <w:tab/>
      </w:r>
      <w:r>
        <w:rPr>
          <w:rStyle w:val="22"/>
        </w:rPr>
        <w:t>非采暖地下室顶板</w:t>
      </w:r>
      <w:r>
        <w:tab/>
      </w:r>
      <w:r>
        <w:fldChar w:fldCharType="begin"/>
      </w:r>
      <w:r>
        <w:instrText xml:space="preserve"> PAGEREF _Toc91629556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"_Toc91629557"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="Calibri" w:hAnsi="Calibri"/>
          <w:szCs w:val="22"/>
        </w:rPr>
        <w:tab/>
      </w:r>
      <w:r>
        <w:rPr>
          <w:rStyle w:val="22"/>
        </w:rPr>
        <w:t>分隔采暖与非采暖空间的隔墙</w:t>
      </w:r>
      <w:r>
        <w:tab/>
      </w:r>
      <w:r>
        <w:fldChar w:fldCharType="begin"/>
      </w:r>
      <w:r>
        <w:instrText xml:space="preserve"> PAGEREF _Toc91629557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"_Toc91629558"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="Calibri" w:hAnsi="Calibri"/>
          <w:szCs w:val="22"/>
        </w:rPr>
        <w:tab/>
      </w:r>
      <w:r>
        <w:rPr>
          <w:rStyle w:val="22"/>
        </w:rPr>
        <w:t>户门</w:t>
      </w:r>
      <w:r>
        <w:tab/>
      </w:r>
      <w:r>
        <w:fldChar w:fldCharType="begin"/>
      </w:r>
      <w:r>
        <w:instrText xml:space="preserve"> PAGEREF _Toc91629558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"_Toc91629559"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="Calibri" w:hAnsi="Calibri"/>
          <w:szCs w:val="22"/>
        </w:rPr>
        <w:tab/>
      </w:r>
      <w:r>
        <w:rPr>
          <w:rStyle w:val="22"/>
        </w:rPr>
        <w:t>单元外门</w:t>
      </w:r>
      <w:r>
        <w:tab/>
      </w:r>
      <w:r>
        <w:fldChar w:fldCharType="begin"/>
      </w:r>
      <w:r>
        <w:instrText xml:space="preserve"> PAGEREF _Toc91629559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"_Toc91629560"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="Calibri" w:hAnsi="Calibri"/>
          <w:szCs w:val="22"/>
        </w:rPr>
        <w:tab/>
      </w:r>
      <w:r>
        <w:rPr>
          <w:rStyle w:val="22"/>
        </w:rPr>
        <w:t>天窗类型</w:t>
      </w:r>
      <w:r>
        <w:tab/>
      </w:r>
      <w:r>
        <w:fldChar w:fldCharType="begin"/>
      </w:r>
      <w:r>
        <w:instrText xml:space="preserve"> PAGEREF _Toc91629560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"_Toc91629561"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="Calibri" w:hAnsi="Calibri"/>
          <w:szCs w:val="22"/>
        </w:rPr>
        <w:tab/>
      </w:r>
      <w:r>
        <w:rPr>
          <w:rStyle w:val="22"/>
        </w:rPr>
        <w:t>开敞阳台门</w:t>
      </w:r>
      <w:r>
        <w:tab/>
      </w:r>
      <w:r>
        <w:fldChar w:fldCharType="begin"/>
      </w:r>
      <w:r>
        <w:instrText xml:space="preserve"> PAGEREF _Toc91629561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"_Toc91629562"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_Toc91629562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"_Toc91629563" </w:instrText>
      </w:r>
      <w:r>
        <w:fldChar w:fldCharType="separate"/>
      </w:r>
      <w:r>
        <w:rPr>
          <w:rStyle w:val="22"/>
          <w:lang w:val="en-GB"/>
        </w:rPr>
        <w:t>3.13.1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_Toc91629563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"_Toc91629564" </w:instrText>
      </w:r>
      <w:r>
        <w:fldChar w:fldCharType="separate"/>
      </w:r>
      <w:r>
        <w:rPr>
          <w:rStyle w:val="22"/>
          <w:lang w:val="en-GB"/>
        </w:rPr>
        <w:t>3.13.2</w:t>
      </w:r>
      <w:r>
        <w:rPr>
          <w:rFonts w:ascii="Calibri" w:hAnsi="Calibri"/>
          <w:szCs w:val="22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_Toc91629564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"_Toc91629565" </w:instrText>
      </w:r>
      <w:r>
        <w:fldChar w:fldCharType="separate"/>
      </w:r>
      <w:r>
        <w:rPr>
          <w:rStyle w:val="22"/>
          <w:lang w:val="en-GB"/>
        </w:rPr>
        <w:t>3.13.3</w:t>
      </w:r>
      <w:r>
        <w:rPr>
          <w:rFonts w:ascii="Calibri" w:hAnsi="Calibr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_Toc91629565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"_Toc91629566" </w:instrText>
      </w:r>
      <w:r>
        <w:fldChar w:fldCharType="separate"/>
      </w:r>
      <w:r>
        <w:rPr>
          <w:rStyle w:val="22"/>
          <w:lang w:val="en-GB"/>
        </w:rPr>
        <w:t>3.13.4</w:t>
      </w:r>
      <w:r>
        <w:rPr>
          <w:rFonts w:ascii="Calibri" w:hAnsi="Calibr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_Toc91629566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"_Toc91629567" </w:instrText>
      </w:r>
      <w:r>
        <w:fldChar w:fldCharType="separate"/>
      </w:r>
      <w:r>
        <w:rPr>
          <w:rStyle w:val="22"/>
          <w:lang w:val="en-GB"/>
        </w:rPr>
        <w:t>3.13.5</w:t>
      </w:r>
      <w:r>
        <w:rPr>
          <w:rFonts w:ascii="Calibri" w:hAnsi="Calibri"/>
          <w:szCs w:val="22"/>
        </w:rPr>
        <w:tab/>
      </w:r>
      <w:r>
        <w:rPr>
          <w:rStyle w:val="22"/>
        </w:rPr>
        <w:t>平均遮阳系数</w:t>
      </w:r>
      <w:r>
        <w:tab/>
      </w:r>
      <w:r>
        <w:fldChar w:fldCharType="begin"/>
      </w:r>
      <w:r>
        <w:instrText xml:space="preserve"> PAGEREF _Toc91629567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"_Toc91629568" </w:instrText>
      </w:r>
      <w:r>
        <w:fldChar w:fldCharType="separate"/>
      </w:r>
      <w:r>
        <w:rPr>
          <w:rStyle w:val="22"/>
          <w:lang w:val="en-GB"/>
        </w:rPr>
        <w:t>3.13.6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外窗遮阳系数</w:t>
      </w:r>
      <w:r>
        <w:tab/>
      </w:r>
      <w:r>
        <w:fldChar w:fldCharType="begin"/>
      </w:r>
      <w:r>
        <w:instrText xml:space="preserve"> PAGEREF _Toc91629568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"_Toc91629569" </w:instrText>
      </w:r>
      <w:r>
        <w:fldChar w:fldCharType="separate"/>
      </w:r>
      <w:r>
        <w:rPr>
          <w:rStyle w:val="22"/>
          <w:lang w:val="en-GB"/>
        </w:rPr>
        <w:t>3.13.7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外窗全遮蔽外遮阳</w:t>
      </w:r>
      <w:r>
        <w:tab/>
      </w:r>
      <w:r>
        <w:fldChar w:fldCharType="begin"/>
      </w:r>
      <w:r>
        <w:instrText xml:space="preserve"> PAGEREF _Toc91629569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"_Toc91629570"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="Calibri" w:hAnsi="Calibri"/>
          <w:szCs w:val="22"/>
        </w:rPr>
        <w:tab/>
      </w:r>
      <w:r>
        <w:rPr>
          <w:rStyle w:val="22"/>
        </w:rPr>
        <w:t>是否有凸窗</w:t>
      </w:r>
      <w:r>
        <w:tab/>
      </w:r>
      <w:r>
        <w:fldChar w:fldCharType="begin"/>
      </w:r>
      <w:r>
        <w:instrText xml:space="preserve"> PAGEREF _Toc91629570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"_Toc91629571"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="Calibri" w:hAnsi="Calibr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_Toc91629571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"_Toc91629572"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="Calibri" w:hAnsi="Calibri"/>
          <w:szCs w:val="22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_Toc91629572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"_Toc91629573"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="Calibri" w:hAnsi="Calibri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_Toc91629573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"_Toc91629574"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="Calibri" w:hAnsi="Calibri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_Toc91629574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"_Toc91629575" </w:instrText>
      </w:r>
      <w:r>
        <w:fldChar w:fldCharType="separate"/>
      </w:r>
      <w:r>
        <w:rPr>
          <w:rStyle w:val="22"/>
        </w:rPr>
        <w:t>4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热工性能权衡判断</w:t>
      </w:r>
      <w:r>
        <w:tab/>
      </w:r>
      <w:r>
        <w:fldChar w:fldCharType="begin"/>
      </w:r>
      <w:r>
        <w:instrText xml:space="preserve"> PAGEREF _Toc91629575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="Calibri" w:hAnsi="Calibri"/>
          <w:szCs w:val="22"/>
        </w:rPr>
        <w:tab/>
      </w:r>
      <w:r>
        <w:rPr>
          <w:rStyle w:val="22"/>
        </w:rPr>
        <w:t>说明</w:t>
      </w:r>
      <w:r>
        <w:tab/>
      </w:r>
      <w:r>
        <w:fldChar w:fldCharType="begin"/>
      </w:r>
      <w:r>
        <w:instrText xml:space="preserve"> PAGEREF _Toc91629576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="Calibri" w:hAnsi="Calibri"/>
          <w:szCs w:val="22"/>
        </w:rPr>
        <w:tab/>
      </w:r>
      <w:r>
        <w:rPr>
          <w:rStyle w:val="22"/>
        </w:rPr>
        <w:t>权衡计算</w:t>
      </w:r>
      <w:r>
        <w:tab/>
      </w:r>
      <w:r>
        <w:fldChar w:fldCharType="begin"/>
      </w:r>
      <w:r>
        <w:instrText xml:space="preserve"> PAGEREF _Toc91629577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"_Toc91629578"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="Calibri" w:hAnsi="Calibri"/>
          <w:szCs w:val="22"/>
        </w:rPr>
        <w:tab/>
      </w:r>
      <w:r>
        <w:rPr>
          <w:rStyle w:val="22"/>
        </w:rPr>
        <w:t>结论</w:t>
      </w:r>
      <w:r>
        <w:tab/>
      </w:r>
      <w:r>
        <w:fldChar w:fldCharType="begin"/>
      </w:r>
      <w:r>
        <w:instrText xml:space="preserve"> PAGEREF _Toc91629578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9162954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北京鼓楼片区四合院绿色改造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2050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6.6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22" w:name="结构类型"/>
            <w:bookmarkEnd w:id="22"/>
            <w:r>
              <w:rPr>
                <w:rFonts w:hint="eastAsia" w:ascii="宋体" w:hAnsi="宋体"/>
                <w:lang w:val="en-US" w:eastAsia="zh-CN"/>
              </w:rPr>
              <w:t>砖木结构</w:t>
            </w:r>
            <w:bookmarkStart w:id="70" w:name="_GoBack"/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>
      <w:pPr>
        <w:pStyle w:val="2"/>
      </w:pPr>
      <w:bookmarkStart w:id="30" w:name="_Toc9162954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《北京市居住建筑节能设计标准》(DB11／891-2012)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1629543"/>
      <w:r>
        <w:rPr>
          <w:kern w:val="2"/>
          <w:szCs w:val="24"/>
        </w:rPr>
        <w:t>规定性指标检查</w:t>
      </w:r>
      <w:bookmarkEnd w:id="33"/>
    </w:p>
    <w:p>
      <w:pPr>
        <w:pStyle w:val="4"/>
        <w:widowControl w:val="0"/>
        <w:rPr>
          <w:kern w:val="2"/>
        </w:rPr>
      </w:pPr>
      <w:bookmarkStart w:id="34" w:name="_Toc91629544"/>
      <w:r>
        <w:rPr>
          <w:kern w:val="2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935.2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>
            <w:r>
              <w:t>0.032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1419.3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1075.9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无机轻集料砂浆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1213.3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依据来源：JGJ 253-2011GB/T 20473-2006；注：密度：300~400；导热系数修正系数（β）：1.05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1061.9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>
            <w:r>
              <w:t>0.190</w:t>
            </w:r>
          </w:p>
        </w:tc>
        <w:tc>
          <w:tcPr>
            <w:tcW w:w="1030" w:type="dxa"/>
            <w:vAlign w:val="center"/>
          </w:tcPr>
          <w:p>
            <w:r>
              <w:t>9.590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11092.9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0.200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1620.0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1376.7</w:t>
            </w:r>
          </w:p>
        </w:tc>
        <w:tc>
          <w:tcPr>
            <w:tcW w:w="1188" w:type="dxa"/>
            <w:vAlign w:val="center"/>
          </w:tcPr>
          <w:p>
            <w:r>
              <w:t>0.0234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91629545"/>
      <w:r>
        <w:rPr>
          <w:kern w:val="2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6412.42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8035.88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《北京市居住建筑节能设计标准》(DB11／891-2012)第3.1.3条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体形系数应符合表3.1.3的规定(s≤0.52)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91629546"/>
      <w:r>
        <w:rPr>
          <w:kern w:val="2"/>
        </w:rPr>
        <w:t>窗墙比</w:t>
      </w:r>
      <w:bookmarkEnd w:id="36"/>
    </w:p>
    <w:p>
      <w:pPr>
        <w:pStyle w:val="5"/>
        <w:widowControl w:val="0"/>
        <w:jc w:val="both"/>
        <w:rPr>
          <w:kern w:val="2"/>
          <w:szCs w:val="24"/>
        </w:rPr>
      </w:pPr>
      <w:bookmarkStart w:id="37" w:name="_Toc91629547"/>
      <w:r>
        <w:rPr>
          <w:kern w:val="2"/>
          <w:szCs w:val="24"/>
        </w:rPr>
        <w:t>窗墙比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207.45</w:t>
            </w:r>
          </w:p>
        </w:tc>
        <w:tc>
          <w:tcPr>
            <w:tcW w:w="1584" w:type="dxa"/>
            <w:vAlign w:val="center"/>
          </w:tcPr>
          <w:p>
            <w:r>
              <w:t>1127.88</w:t>
            </w:r>
          </w:p>
        </w:tc>
        <w:tc>
          <w:tcPr>
            <w:tcW w:w="1584" w:type="dxa"/>
            <w:vAlign w:val="center"/>
          </w:tcPr>
          <w:p>
            <w:r>
              <w:t>0.18</w:t>
            </w:r>
          </w:p>
        </w:tc>
        <w:tc>
          <w:tcPr>
            <w:tcW w:w="1584" w:type="dxa"/>
            <w:vAlign w:val="center"/>
          </w:tcPr>
          <w:p>
            <w:r>
              <w:t>0.50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151.18</w:t>
            </w:r>
          </w:p>
        </w:tc>
        <w:tc>
          <w:tcPr>
            <w:tcW w:w="1584" w:type="dxa"/>
            <w:vAlign w:val="center"/>
          </w:tcPr>
          <w:p>
            <w:r>
              <w:t>1132.27</w:t>
            </w:r>
          </w:p>
        </w:tc>
        <w:tc>
          <w:tcPr>
            <w:tcW w:w="1584" w:type="dxa"/>
            <w:vAlign w:val="center"/>
          </w:tcPr>
          <w:p>
            <w:r>
              <w:t>0.13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94.08</w:t>
            </w:r>
          </w:p>
        </w:tc>
        <w:tc>
          <w:tcPr>
            <w:tcW w:w="1584" w:type="dxa"/>
            <w:vAlign w:val="center"/>
          </w:tcPr>
          <w:p>
            <w:r>
              <w:t>881.48</w:t>
            </w:r>
          </w:p>
        </w:tc>
        <w:tc>
          <w:tcPr>
            <w:tcW w:w="1584" w:type="dxa"/>
            <w:vAlign w:val="center"/>
          </w:tcPr>
          <w:p>
            <w:r>
              <w:t>0.11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71.28</w:t>
            </w:r>
          </w:p>
        </w:tc>
        <w:tc>
          <w:tcPr>
            <w:tcW w:w="1584" w:type="dxa"/>
            <w:vAlign w:val="center"/>
          </w:tcPr>
          <w:p>
            <w:r>
              <w:t>875.02</w:t>
            </w:r>
          </w:p>
        </w:tc>
        <w:tc>
          <w:tcPr>
            <w:tcW w:w="1584" w:type="dxa"/>
            <w:vAlign w:val="center"/>
          </w:tcPr>
          <w:p>
            <w:r>
              <w:t>0.08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《北京市居住建筑节能设计标准》(DB11／891-2012)第3.1.5条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各朝向窗墙比不应超过表3.1.5的限值，且进行权衡判断时不得大于其最大值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8" w:name="_Toc91629548"/>
      <w:r>
        <w:rPr>
          <w:kern w:val="2"/>
          <w:szCs w:val="24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194.22</w:t>
            </w:r>
          </w:p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57.60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C2421</w:t>
            </w:r>
          </w:p>
        </w:tc>
        <w:tc>
          <w:tcPr>
            <w:tcW w:w="1386" w:type="dxa"/>
            <w:vAlign w:val="center"/>
          </w:tcPr>
          <w:p>
            <w:r>
              <w:t>2.40×2.10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2.70×1.50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12.15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C4515</w:t>
            </w:r>
          </w:p>
        </w:tc>
        <w:tc>
          <w:tcPr>
            <w:tcW w:w="1386" w:type="dxa"/>
            <w:vAlign w:val="center"/>
          </w:tcPr>
          <w:p>
            <w:r>
              <w:t>4.48×1.50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C7021</w:t>
            </w:r>
          </w:p>
        </w:tc>
        <w:tc>
          <w:tcPr>
            <w:tcW w:w="1386" w:type="dxa"/>
            <w:vAlign w:val="center"/>
          </w:tcPr>
          <w:p>
            <w:r>
              <w:t>7.00×2.10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14.70</w:t>
            </w:r>
          </w:p>
        </w:tc>
        <w:tc>
          <w:tcPr>
            <w:tcW w:w="1262" w:type="dxa"/>
            <w:vAlign w:val="center"/>
          </w:tcPr>
          <w:p>
            <w:r>
              <w:t>58.80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MLC2421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151.18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14.60×3.51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51.28</w:t>
            </w:r>
          </w:p>
        </w:tc>
        <w:tc>
          <w:tcPr>
            <w:tcW w:w="1262" w:type="dxa"/>
            <w:vAlign w:val="center"/>
          </w:tcPr>
          <w:p>
            <w:r>
              <w:t>51.28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C3515</w:t>
            </w:r>
          </w:p>
        </w:tc>
        <w:tc>
          <w:tcPr>
            <w:tcW w:w="1386" w:type="dxa"/>
            <w:vAlign w:val="center"/>
          </w:tcPr>
          <w:p>
            <w:r>
              <w:t>3.50×1.50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5.25</w:t>
            </w:r>
          </w:p>
        </w:tc>
        <w:tc>
          <w:tcPr>
            <w:tcW w:w="1262" w:type="dxa"/>
            <w:vAlign w:val="center"/>
          </w:tcPr>
          <w:p>
            <w:r>
              <w:t>10.50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C7021</w:t>
            </w:r>
          </w:p>
        </w:tc>
        <w:tc>
          <w:tcPr>
            <w:tcW w:w="1386" w:type="dxa"/>
            <w:vAlign w:val="center"/>
          </w:tcPr>
          <w:p>
            <w:r>
              <w:t>7.00×2.10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14.70</w:t>
            </w:r>
          </w:p>
        </w:tc>
        <w:tc>
          <w:tcPr>
            <w:tcW w:w="1262" w:type="dxa"/>
            <w:vAlign w:val="center"/>
          </w:tcPr>
          <w:p>
            <w:r>
              <w:t>58.80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82.74</w:t>
            </w:r>
          </w:p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2.70×1.50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C4521</w:t>
            </w:r>
          </w:p>
        </w:tc>
        <w:tc>
          <w:tcPr>
            <w:tcW w:w="1386" w:type="dxa"/>
            <w:vAlign w:val="center"/>
          </w:tcPr>
          <w:p>
            <w:r>
              <w:t>4.50×2.10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MLC2421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MLC2421</w:t>
            </w:r>
          </w:p>
        </w:tc>
        <w:tc>
          <w:tcPr>
            <w:tcW w:w="1386" w:type="dxa"/>
            <w:vAlign w:val="center"/>
          </w:tcPr>
          <w:p>
            <w:r>
              <w:t>1.19×1.50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1.78</w:t>
            </w:r>
          </w:p>
        </w:tc>
        <w:tc>
          <w:tcPr>
            <w:tcW w:w="1262" w:type="dxa"/>
            <w:vAlign w:val="center"/>
          </w:tcPr>
          <w:p>
            <w:r>
              <w:t>5.34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67.50</w:t>
            </w:r>
          </w:p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C4521</w:t>
            </w:r>
          </w:p>
        </w:tc>
        <w:tc>
          <w:tcPr>
            <w:tcW w:w="1386" w:type="dxa"/>
            <w:vAlign w:val="center"/>
          </w:tcPr>
          <w:p>
            <w:r>
              <w:t>4.50×2.10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MLC2421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91629549"/>
      <w:r>
        <w:rPr>
          <w:kern w:val="2"/>
        </w:rPr>
        <w:t>屋顶</w:t>
      </w:r>
      <w:bookmarkEnd w:id="39"/>
    </w:p>
    <w:p>
      <w:pPr>
        <w:pStyle w:val="5"/>
        <w:widowControl w:val="0"/>
        <w:jc w:val="both"/>
        <w:rPr>
          <w:kern w:val="2"/>
          <w:szCs w:val="24"/>
        </w:rPr>
      </w:pPr>
      <w:bookmarkStart w:id="40" w:name="_Toc91629550"/>
      <w:r>
        <w:rPr>
          <w:kern w:val="2"/>
          <w:szCs w:val="24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0.071</w:t>
            </w:r>
          </w:p>
        </w:tc>
        <w:tc>
          <w:tcPr>
            <w:tcW w:w="1064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无机轻集料砂浆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聚氨酯硬泡沫塑料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1.15</w:t>
            </w:r>
          </w:p>
        </w:tc>
        <w:tc>
          <w:tcPr>
            <w:tcW w:w="1075" w:type="dxa"/>
            <w:vAlign w:val="center"/>
          </w:tcPr>
          <w:p>
            <w:r>
              <w:t>5.072</w:t>
            </w:r>
          </w:p>
        </w:tc>
        <w:tc>
          <w:tcPr>
            <w:tcW w:w="1064" w:type="dxa"/>
            <w:vAlign w:val="center"/>
          </w:tcPr>
          <w:p>
            <w:r>
              <w:t>1.692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钢筋混凝土（2）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401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5.865</w:t>
            </w:r>
          </w:p>
        </w:tc>
        <w:tc>
          <w:tcPr>
            <w:tcW w:w="1064" w:type="dxa"/>
            <w:vAlign w:val="center"/>
          </w:tcPr>
          <w:p>
            <w:r>
              <w:t>4.885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0.17 * 1.10 = 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K值应当符合表3.2.2的要求(K≤0.30)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1" w:name="_Toc91629551"/>
      <w:r>
        <w:rPr>
          <w:kern w:val="2"/>
        </w:rPr>
        <w:t>外墙</w:t>
      </w:r>
      <w:bookmarkEnd w:id="41"/>
    </w:p>
    <w:p>
      <w:pPr>
        <w:pStyle w:val="5"/>
        <w:widowControl w:val="0"/>
        <w:jc w:val="both"/>
        <w:rPr>
          <w:kern w:val="2"/>
          <w:szCs w:val="24"/>
        </w:rPr>
      </w:pPr>
      <w:bookmarkStart w:id="42" w:name="_Toc91629552"/>
      <w:r>
        <w:rPr>
          <w:kern w:val="2"/>
          <w:szCs w:val="24"/>
        </w:rPr>
        <w:t>外墙相关构造</w:t>
      </w:r>
      <w:bookmarkEnd w:id="42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水泥砂浆（2）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聚氨酯硬泡沫塑料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1.15</w:t>
            </w:r>
          </w:p>
        </w:tc>
        <w:tc>
          <w:tcPr>
            <w:tcW w:w="1075" w:type="dxa"/>
            <w:vAlign w:val="center"/>
          </w:tcPr>
          <w:p>
            <w:r>
              <w:t>3.986</w:t>
            </w:r>
          </w:p>
        </w:tc>
        <w:tc>
          <w:tcPr>
            <w:tcW w:w="1064" w:type="dxa"/>
            <w:vAlign w:val="center"/>
          </w:tcPr>
          <w:p>
            <w:r>
              <w:t>1.329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加气混凝土砌块及板材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9.590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1.053</w:t>
            </w:r>
          </w:p>
        </w:tc>
        <w:tc>
          <w:tcPr>
            <w:tcW w:w="1064" w:type="dxa"/>
            <w:vAlign w:val="center"/>
          </w:tcPr>
          <w:p>
            <w:r>
              <w:t>10.095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5.056</w:t>
            </w:r>
          </w:p>
        </w:tc>
        <w:tc>
          <w:tcPr>
            <w:tcW w:w="1064" w:type="dxa"/>
            <w:vAlign w:val="center"/>
          </w:tcPr>
          <w:p>
            <w:r>
              <w:t>11.621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3" w:name="_Toc91629553"/>
      <w:r>
        <w:rPr>
          <w:kern w:val="2"/>
          <w:szCs w:val="24"/>
        </w:rPr>
        <w:t>外墙主断面传热系数的修正系数ψ</w:t>
      </w:r>
      <w:bookmarkEnd w:id="43"/>
    </w:p>
    <w:p>
      <w:pPr>
        <w:rPr>
          <w:szCs w:val="21"/>
          <w:lang w:val="en-US"/>
        </w:rPr>
      </w:pPr>
      <w:bookmarkStart w:id="44" w:name="北京外墙K修正系数表"/>
      <w:r>
        <w:rPr>
          <w:szCs w:val="21"/>
          <w:lang w:val="en-US"/>
        </w:rPr>
        <w:pict>
          <v:shape id="_x0000_i1027" o:spt="75" type="#_x0000_t75" style="height:289.2pt;width:454.2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bookmarkEnd w:id="44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45" w:name="_Toc91629554"/>
      <w:r>
        <w:rPr>
          <w:kern w:val="2"/>
          <w:szCs w:val="24"/>
        </w:rPr>
        <w:t>外墙平均热工特性</w:t>
      </w:r>
      <w:bookmarkEnd w:id="4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898.33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0.19</w:t>
            </w:r>
          </w:p>
        </w:tc>
        <w:tc>
          <w:tcPr>
            <w:tcW w:w="1661" w:type="dxa"/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0.19 × 1.40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957.75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0.19</w:t>
            </w:r>
          </w:p>
        </w:tc>
        <w:tc>
          <w:tcPr>
            <w:tcW w:w="1661" w:type="dxa"/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0.19 × 1.40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767.04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0.19</w:t>
            </w:r>
          </w:p>
        </w:tc>
        <w:tc>
          <w:tcPr>
            <w:tcW w:w="1661" w:type="dxa"/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0.19 × 1.40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786.39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0.19</w:t>
            </w:r>
          </w:p>
        </w:tc>
        <w:tc>
          <w:tcPr>
            <w:tcW w:w="1661" w:type="dxa"/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0.19 × 1.40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3409.52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0.19</w:t>
            </w:r>
          </w:p>
        </w:tc>
        <w:tc>
          <w:tcPr>
            <w:tcW w:w="1661" w:type="dxa"/>
            <w:vAlign w:val="center"/>
          </w:tcPr>
          <w:p>
            <w:r>
              <w:t>11.62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0.19 × 1.40 = 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K值应当符合表3.2.2的要求(K≤0.35)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91629555"/>
      <w:r>
        <w:rPr>
          <w:kern w:val="2"/>
        </w:rPr>
        <w:t>挑空楼板</w:t>
      </w:r>
      <w:bookmarkEnd w:id="4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7" w:name="_Toc91629556"/>
      <w:r>
        <w:rPr>
          <w:kern w:val="2"/>
        </w:rPr>
        <w:t>非采暖地下室顶板</w:t>
      </w:r>
      <w:bookmarkEnd w:id="4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8" w:name="_Toc91629557"/>
      <w:r>
        <w:rPr>
          <w:kern w:val="2"/>
        </w:rPr>
        <w:t>分隔采暖与非采暖空间的隔墙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9" w:name="_Toc91629558"/>
      <w:r>
        <w:rPr>
          <w:kern w:val="2"/>
        </w:rPr>
        <w:t>户门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0" w:name="_Toc91629559"/>
      <w:r>
        <w:t>单元外门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上限-85系列铝木复合平开窗（铝包木）：5双银Low-E+12（16）A+5 +12（16）A+5双银Low-E</w:t>
            </w:r>
          </w:p>
        </w:tc>
        <w:tc>
          <w:tcPr>
            <w:tcW w:w="1358" w:type="dxa"/>
            <w:vAlign w:val="center"/>
          </w:tcPr>
          <w:p>
            <w:r>
              <w:t>83.16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1.10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bookmarkStart w:id="51" w:name="_Toc91629560"/>
      <w:r>
        <w:t>天窗类型</w:t>
      </w:r>
      <w:bookmarkEnd w:id="51"/>
    </w:p>
    <w:p>
      <w:r>
        <w:tab/>
      </w:r>
      <w:r>
        <w:t>本工程无此项内容</w:t>
      </w:r>
    </w:p>
    <w:p>
      <w:pPr>
        <w:pStyle w:val="4"/>
      </w:pPr>
      <w:bookmarkStart w:id="52" w:name="_Toc91629561"/>
      <w:r>
        <w:t>开敞阳台门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下限-60系列平开塑料窗(内开)5+12A+4+12A+5LowE</w:t>
            </w:r>
          </w:p>
        </w:tc>
        <w:tc>
          <w:tcPr>
            <w:tcW w:w="1726" w:type="dxa"/>
            <w:vAlign w:val="center"/>
          </w:tcPr>
          <w:p>
            <w:r>
              <w:t>28.35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1.20</w:t>
            </w:r>
          </w:p>
        </w:tc>
      </w:tr>
    </w:tbl>
    <w:p/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094"/>
        <w:gridCol w:w="2094"/>
        <w:gridCol w:w="31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094" w:type="dxa"/>
            <w:vAlign w:val="center"/>
          </w:tcPr>
          <w:p>
            <w:r>
              <w:t>1.20</w:t>
            </w:r>
          </w:p>
        </w:tc>
        <w:tc>
          <w:tcPr>
            <w:tcW w:w="2094" w:type="dxa"/>
            <w:vAlign w:val="center"/>
          </w:tcPr>
          <w:p>
            <w:r>
              <w:t>1.80</w:t>
            </w:r>
          </w:p>
        </w:tc>
        <w:tc>
          <w:tcPr>
            <w:tcW w:w="316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094" w:type="dxa"/>
            <w:vAlign w:val="center"/>
          </w:tcPr>
          <w:p>
            <w:r>
              <w:t>0.00</w:t>
            </w:r>
          </w:p>
        </w:tc>
        <w:tc>
          <w:tcPr>
            <w:tcW w:w="2094" w:type="dxa"/>
            <w:vAlign w:val="center"/>
          </w:tcPr>
          <w:p>
            <w:r>
              <w:t>1.80</w:t>
            </w:r>
          </w:p>
        </w:tc>
        <w:tc>
          <w:tcPr>
            <w:tcW w:w="31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094" w:type="dxa"/>
            <w:vAlign w:val="center"/>
          </w:tcPr>
          <w:p>
            <w:r>
              <w:t>1.20</w:t>
            </w:r>
          </w:p>
        </w:tc>
        <w:tc>
          <w:tcPr>
            <w:tcW w:w="2094" w:type="dxa"/>
            <w:vAlign w:val="center"/>
          </w:tcPr>
          <w:p>
            <w:r>
              <w:t>1.80</w:t>
            </w:r>
          </w:p>
        </w:tc>
        <w:tc>
          <w:tcPr>
            <w:tcW w:w="316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094" w:type="dxa"/>
            <w:vAlign w:val="center"/>
          </w:tcPr>
          <w:p>
            <w:r>
              <w:t>1.20</w:t>
            </w:r>
          </w:p>
        </w:tc>
        <w:tc>
          <w:tcPr>
            <w:tcW w:w="2094" w:type="dxa"/>
            <w:vAlign w:val="center"/>
          </w:tcPr>
          <w:p>
            <w:r>
              <w:t>1.80</w:t>
            </w:r>
          </w:p>
        </w:tc>
        <w:tc>
          <w:tcPr>
            <w:tcW w:w="316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357" w:type="dxa"/>
            <w:gridSpan w:val="3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357" w:type="dxa"/>
            <w:gridSpan w:val="3"/>
          </w:tcPr>
          <w:p>
            <w:r>
              <w:t>各朝向阳台门的传热系数应满足表3.2.2的要求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357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53" w:name="_Toc91629562"/>
      <w:r>
        <w:t>外窗热工</w:t>
      </w:r>
      <w:bookmarkEnd w:id="53"/>
    </w:p>
    <w:p>
      <w:pPr>
        <w:pStyle w:val="5"/>
      </w:pPr>
      <w:bookmarkStart w:id="54" w:name="_Toc91629563"/>
      <w: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上限-75系列内开塑料窗：5单银Low-E+12Ar+5 +12Ar+ 5单银Low-E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0.41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附录C 表C.3.6 塑料窗参考配置；（注：K≤1.0【W/㎡·K】；SHGC：0.33~0.36；同上）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上限-75系列内开塑料窗：5单银Low-E+12Ar+5 +12Ar+ 5单银Low-E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0.41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附录C 表C.3.6 塑料窗参考配置；（注：K≤1.0【W/㎡·K】；SHGC：0.33~0.36；同上）</w:t>
            </w:r>
          </w:p>
        </w:tc>
      </w:tr>
    </w:tbl>
    <w:p>
      <w:pPr>
        <w:pStyle w:val="5"/>
      </w:pPr>
      <w:bookmarkStart w:id="55" w:name="_Toc91629564"/>
      <w:r>
        <w:t>平均传热系数</w:t>
      </w:r>
      <w:bookmarkEnd w:id="55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57.600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12.150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C4515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6.715</w:t>
            </w:r>
          </w:p>
        </w:tc>
        <w:tc>
          <w:tcPr>
            <w:tcW w:w="1188" w:type="dxa"/>
            <w:vAlign w:val="center"/>
          </w:tcPr>
          <w:p>
            <w:r>
              <w:t>6.715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C7021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14.700</w:t>
            </w:r>
          </w:p>
        </w:tc>
        <w:tc>
          <w:tcPr>
            <w:tcW w:w="1188" w:type="dxa"/>
            <w:vAlign w:val="center"/>
          </w:tcPr>
          <w:p>
            <w:r>
              <w:t>58.800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MLC2421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15.750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194.215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51.275</w:t>
            </w:r>
          </w:p>
        </w:tc>
        <w:tc>
          <w:tcPr>
            <w:tcW w:w="1188" w:type="dxa"/>
            <w:vAlign w:val="center"/>
          </w:tcPr>
          <w:p>
            <w:r>
              <w:t>51.275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5.250</w:t>
            </w:r>
          </w:p>
        </w:tc>
        <w:tc>
          <w:tcPr>
            <w:tcW w:w="1188" w:type="dxa"/>
            <w:vAlign w:val="center"/>
          </w:tcPr>
          <w:p>
            <w:r>
              <w:t>10.500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C7021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14.700</w:t>
            </w:r>
          </w:p>
        </w:tc>
        <w:tc>
          <w:tcPr>
            <w:tcW w:w="1188" w:type="dxa"/>
            <w:vAlign w:val="center"/>
          </w:tcPr>
          <w:p>
            <w:r>
              <w:t>58.800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151.175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C4521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MLC2421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MLC2421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1.779</w:t>
            </w:r>
          </w:p>
        </w:tc>
        <w:tc>
          <w:tcPr>
            <w:tcW w:w="1188" w:type="dxa"/>
            <w:vAlign w:val="center"/>
          </w:tcPr>
          <w:p>
            <w:r>
              <w:t>5.338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82.738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C4521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MLC2421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67.500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/>
    <w:p>
      <w:pPr>
        <w:pStyle w:val="5"/>
      </w:pPr>
      <w:bookmarkStart w:id="56" w:name="_Toc91629565"/>
      <w: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194.22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0.29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2314" w:type="dxa"/>
            <w:vAlign w:val="center"/>
          </w:tcPr>
          <w:p>
            <w:r>
              <w:t>K≤1.80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151.18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245" w:type="dxa"/>
            <w:vAlign w:val="center"/>
          </w:tcPr>
          <w:p>
            <w:r>
              <w:t>0.13</w:t>
            </w:r>
          </w:p>
        </w:tc>
        <w:tc>
          <w:tcPr>
            <w:tcW w:w="2314" w:type="dxa"/>
            <w:vAlign w:val="center"/>
          </w:tcPr>
          <w:p>
            <w:r>
              <w:t>K≤1.80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82.74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0.29</w:t>
            </w:r>
          </w:p>
        </w:tc>
        <w:tc>
          <w:tcPr>
            <w:tcW w:w="1245" w:type="dxa"/>
            <w:vAlign w:val="center"/>
          </w:tcPr>
          <w:p>
            <w:r>
              <w:t>0.11</w:t>
            </w:r>
          </w:p>
        </w:tc>
        <w:tc>
          <w:tcPr>
            <w:tcW w:w="2314" w:type="dxa"/>
            <w:vAlign w:val="center"/>
          </w:tcPr>
          <w:p>
            <w:r>
              <w:t>K≤1.80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67.50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0.29</w:t>
            </w:r>
          </w:p>
        </w:tc>
        <w:tc>
          <w:tcPr>
            <w:tcW w:w="1245" w:type="dxa"/>
            <w:vAlign w:val="center"/>
          </w:tcPr>
          <w:p>
            <w:r>
              <w:t>0.08</w:t>
            </w:r>
          </w:p>
        </w:tc>
        <w:tc>
          <w:tcPr>
            <w:tcW w:w="2314" w:type="dxa"/>
            <w:vAlign w:val="center"/>
          </w:tcPr>
          <w:p>
            <w:r>
              <w:t>K≤1.80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495.63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245" w:type="dxa"/>
            <w:vAlign w:val="center"/>
          </w:tcPr>
          <w:p>
            <w:r>
              <w:t>0.13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《北京市居住建筑节能设计标准》(DB11／891-2012)第3.2.2条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各朝向外窗传热系数和遮阳系数满足表3.2.2的要求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5"/>
      </w:pPr>
      <w:bookmarkStart w:id="57" w:name="_Toc91629566"/>
      <w:r>
        <w:t>外遮阳类型</w:t>
      </w:r>
      <w:bookmarkEnd w:id="57"/>
    </w:p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0.400</w:t>
            </w:r>
          </w:p>
        </w:tc>
        <w:tc>
          <w:tcPr>
            <w:tcW w:w="1075" w:type="dxa"/>
            <w:vAlign w:val="center"/>
          </w:tcPr>
          <w:p>
            <w:r>
              <w:t>0.700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</w:pPr>
      <w:bookmarkStart w:id="58" w:name="_Toc91629567"/>
      <w:r>
        <w:t>平均遮阳系数</w:t>
      </w:r>
      <w:bookmarkEnd w:id="58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57.600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C2715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12.150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C4515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6.715</w:t>
            </w:r>
          </w:p>
        </w:tc>
        <w:tc>
          <w:tcPr>
            <w:tcW w:w="848" w:type="dxa"/>
            <w:vAlign w:val="center"/>
          </w:tcPr>
          <w:p>
            <w:r>
              <w:t>6.715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C7021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14.700</w:t>
            </w:r>
          </w:p>
        </w:tc>
        <w:tc>
          <w:tcPr>
            <w:tcW w:w="848" w:type="dxa"/>
            <w:vAlign w:val="center"/>
          </w:tcPr>
          <w:p>
            <w:r>
              <w:t>58.800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MLC2421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15.750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194.215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51.275</w:t>
            </w:r>
          </w:p>
        </w:tc>
        <w:tc>
          <w:tcPr>
            <w:tcW w:w="848" w:type="dxa"/>
            <w:vAlign w:val="center"/>
          </w:tcPr>
          <w:p>
            <w:r>
              <w:t>51.275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5.250</w:t>
            </w:r>
          </w:p>
        </w:tc>
        <w:tc>
          <w:tcPr>
            <w:tcW w:w="848" w:type="dxa"/>
            <w:vAlign w:val="center"/>
          </w:tcPr>
          <w:p>
            <w:r>
              <w:t>10.500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C7021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14.700</w:t>
            </w:r>
          </w:p>
        </w:tc>
        <w:tc>
          <w:tcPr>
            <w:tcW w:w="848" w:type="dxa"/>
            <w:vAlign w:val="center"/>
          </w:tcPr>
          <w:p>
            <w:r>
              <w:t>58.800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151.175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0.802</w:t>
            </w:r>
          </w:p>
        </w:tc>
        <w:tc>
          <w:tcPr>
            <w:tcW w:w="916" w:type="dxa"/>
            <w:vAlign w:val="center"/>
          </w:tcPr>
          <w:p>
            <w:r>
              <w:t>0.332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C2715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C4521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18.900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MLC2421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MLC2421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1.779</w:t>
            </w:r>
          </w:p>
        </w:tc>
        <w:tc>
          <w:tcPr>
            <w:tcW w:w="848" w:type="dxa"/>
            <w:vAlign w:val="center"/>
          </w:tcPr>
          <w:p>
            <w:r>
              <w:t>5.338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82.738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C4521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18.900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MLC2421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0.414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67.500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0.700</w:t>
            </w:r>
          </w:p>
        </w:tc>
        <w:tc>
          <w:tcPr>
            <w:tcW w:w="916" w:type="dxa"/>
            <w:vAlign w:val="center"/>
          </w:tcPr>
          <w:p>
            <w:r>
              <w:t>0.290</w:t>
            </w:r>
          </w:p>
        </w:tc>
      </w:tr>
    </w:tbl>
    <w:p/>
    <w:p>
      <w: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8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pict>
                <v:shape id="_x0000_i1028" o:spt="75" type="#_x0000_t75" style="height:36pt;width:321.6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>
            <w:r>
              <w:t>=0.303</w:t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194.215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151.175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82.738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67.500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0.303</w:t>
            </w:r>
          </w:p>
        </w:tc>
      </w:tr>
    </w:tbl>
    <w:p/>
    <w:p>
      <w:pPr>
        <w:pStyle w:val="5"/>
      </w:pPr>
      <w:bookmarkStart w:id="59" w:name="_Toc91629568"/>
      <w:r>
        <w:t>外窗遮阳系数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有</w:t>
            </w:r>
          </w:p>
        </w:tc>
        <w:tc>
          <w:tcPr>
            <w:tcW w:w="2037" w:type="dxa"/>
            <w:vAlign w:val="center"/>
          </w:tcPr>
          <w:p>
            <w:r>
              <w:t>有可全遮蔽的外遮阳</w:t>
            </w:r>
          </w:p>
        </w:tc>
        <w:tc>
          <w:tcPr>
            <w:tcW w:w="1018" w:type="dxa"/>
            <w:vAlign w:val="center"/>
          </w:tcPr>
          <w:p>
            <w:r>
              <w:t>0.46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有</w:t>
            </w:r>
          </w:p>
        </w:tc>
        <w:tc>
          <w:tcPr>
            <w:tcW w:w="2037" w:type="dxa"/>
            <w:vAlign w:val="center"/>
          </w:tcPr>
          <w:p>
            <w:r>
              <w:t>有可全遮蔽的外遮阳</w:t>
            </w:r>
          </w:p>
        </w:tc>
        <w:tc>
          <w:tcPr>
            <w:tcW w:w="1018" w:type="dxa"/>
            <w:vAlign w:val="center"/>
          </w:tcPr>
          <w:p>
            <w:r>
              <w:t>0.46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《北京市居住建筑节能设计标准》(DB11／891-2012)第3.2.4条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寒冷（B）区外窗综合遮阳系数应符合3.2.4的要求。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5"/>
      </w:pPr>
      <w:bookmarkStart w:id="60" w:name="_Toc91629569"/>
      <w:r>
        <w:t>外窗全遮蔽外遮阳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15"/>
        <w:gridCol w:w="1550"/>
        <w:gridCol w:w="1131"/>
        <w:gridCol w:w="2491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415" w:type="dxa"/>
            <w:vAlign w:val="center"/>
          </w:tcPr>
          <w:p>
            <w:r>
              <w:t>001</w:t>
            </w:r>
          </w:p>
        </w:tc>
        <w:tc>
          <w:tcPr>
            <w:tcW w:w="1550" w:type="dxa"/>
            <w:vAlign w:val="center"/>
          </w:tcPr>
          <w:p>
            <w:r>
              <w:t>18</w:t>
            </w:r>
          </w:p>
        </w:tc>
        <w:tc>
          <w:tcPr>
            <w:tcW w:w="1131" w:type="dxa"/>
            <w:vAlign w:val="center"/>
          </w:tcPr>
          <w:p>
            <w:r>
              <w:t>有</w:t>
            </w:r>
          </w:p>
        </w:tc>
        <w:tc>
          <w:tcPr>
            <w:tcW w:w="2490" w:type="dxa"/>
            <w:vAlign w:val="center"/>
          </w:tcPr>
          <w:p>
            <w:r>
              <w:t>有可全遮蔽的外遮阳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415" w:type="dxa"/>
            <w:vAlign w:val="center"/>
          </w:tcPr>
          <w:p>
            <w:r>
              <w:t>001</w:t>
            </w:r>
          </w:p>
        </w:tc>
        <w:tc>
          <w:tcPr>
            <w:tcW w:w="1550" w:type="dxa"/>
            <w:vAlign w:val="center"/>
          </w:tcPr>
          <w:p>
            <w:r>
              <w:t>18</w:t>
            </w:r>
          </w:p>
        </w:tc>
        <w:tc>
          <w:tcPr>
            <w:tcW w:w="1131" w:type="dxa"/>
            <w:vAlign w:val="center"/>
          </w:tcPr>
          <w:p>
            <w:r>
              <w:t>有</w:t>
            </w:r>
          </w:p>
        </w:tc>
        <w:tc>
          <w:tcPr>
            <w:tcW w:w="2490" w:type="dxa"/>
            <w:vAlign w:val="center"/>
          </w:tcPr>
          <w:p>
            <w:r>
              <w:t>有可全遮蔽的外遮阳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>
            <w:r>
              <w:t>《北京市居住建筑节能设计标准》(DB11／891-2012)第3.2.10条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>
            <w:r>
              <w:t>《北京市居住建筑节能设计标准》(DB11／891-2012)第3.2.10条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4"/>
      </w:pPr>
      <w:bookmarkStart w:id="61" w:name="_Toc91629570"/>
      <w:r>
        <w:t>是否有凸窗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37"/>
        <w:gridCol w:w="3170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不得设置凸窗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790" w:type="dxa"/>
            <w:gridSpan w:val="3"/>
          </w:tcPr>
          <w:p>
            <w:r>
              <w:t>《北京市居住建筑节能设计标准》(DB11／891-2012)第3.2.6条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790" w:type="dxa"/>
            <w:gridSpan w:val="3"/>
          </w:tcPr>
          <w:p>
            <w:r>
              <w:t>北向不得设置凸窗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790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62" w:name="_Toc91629571"/>
      <w:r>
        <w:t>凸窗板</w:t>
      </w:r>
      <w:bookmarkEnd w:id="62"/>
    </w:p>
    <w:p>
      <w:r>
        <w:tab/>
      </w:r>
      <w:r>
        <w:t>本工程无此项内容</w:t>
      </w:r>
    </w:p>
    <w:p>
      <w:pPr>
        <w:pStyle w:val="4"/>
      </w:pPr>
      <w:bookmarkStart w:id="63" w:name="_Toc91629572"/>
      <w:r>
        <w:t>变形缝</w:t>
      </w:r>
      <w:bookmarkEnd w:id="63"/>
    </w:p>
    <w:p>
      <w:r>
        <w:tab/>
      </w:r>
      <w:r>
        <w:t>本工程无此项内容</w:t>
      </w:r>
    </w:p>
    <w:p>
      <w:pPr>
        <w:pStyle w:val="4"/>
      </w:pPr>
      <w:bookmarkStart w:id="64" w:name="_Toc91629573"/>
      <w: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《北京市居住建筑节能设计标准》(DB11／891-2012)第3.2.9条，分级与检测方法《建筑外门窗气密，水密，抗风压性能分级及检测方法》（GB/T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外窗气密性不应低于《建筑外门窗气密，水密，抗风压性能分级及检测方法》（GB/T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5" w:name="_Toc91629574"/>
      <w:r>
        <w:t>规定性指标检查结论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单元外门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开敞阳台门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是否有凸窗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bookmarkStart w:id="66" w:name="_Toc91629575"/>
      <w:r>
        <w:t>热工性能权衡判断</w:t>
      </w:r>
      <w:bookmarkEnd w:id="66"/>
    </w:p>
    <w:p>
      <w:pPr>
        <w:pStyle w:val="4"/>
      </w:pPr>
      <w:bookmarkStart w:id="67" w:name="_Toc91629576"/>
      <w:r>
        <w:t>说明</w:t>
      </w:r>
      <w:bookmarkEnd w:id="67"/>
    </w:p>
    <w:p>
      <w:r>
        <w:t>本建筑按《北京市居住建筑节能设计标准》(DB11／891-2012)之规定进行强制性条文和必须满足条款的规定性指标检查，结果未能达标，按标准规定继续进行热工性能权衡判断。</w:t>
      </w:r>
    </w:p>
    <w:p/>
    <w:p>
      <w:pPr>
        <w:pStyle w:val="4"/>
      </w:pPr>
      <w:bookmarkStart w:id="68" w:name="_Toc91629577"/>
      <w:r>
        <w:t>权衡计算</w:t>
      </w:r>
      <w:bookmarkEnd w:id="68"/>
    </w:p>
    <w:p>
      <w:r>
        <w:t>注：计算过程见【能耗计算】耗热量计算表.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22.42</w:t>
            </w:r>
          </w:p>
        </w:tc>
        <w:tc>
          <w:tcPr>
            <w:tcW w:w="2971" w:type="dxa"/>
            <w:vAlign w:val="center"/>
          </w:tcPr>
          <w:p>
            <w:r>
              <w:t>14.50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12.31</w:t>
            </w:r>
          </w:p>
        </w:tc>
        <w:tc>
          <w:tcPr>
            <w:tcW w:w="2971" w:type="dxa"/>
            <w:vAlign w:val="center"/>
          </w:tcPr>
          <w:p>
            <w:r>
              <w:t>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《北京市居住建筑节能设计标准》(DB11／891-2012)》3.3.2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建筑物耗热量指标不应大于表3.3.2的限值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69" w:name="_Toc91629578"/>
      <w:r>
        <w:t>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阳台门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权衡计算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6" o:spt="75" type="#_x0000_t75" style="height:12.6pt;width:67.8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299"/>
    <w:rsid w:val="000130AA"/>
    <w:rsid w:val="00014299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C352F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  <w:rsid w:val="400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638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Company>ths</Company>
  <Pages>15</Pages>
  <Words>1959</Words>
  <Characters>11167</Characters>
  <Lines>93</Lines>
  <Paragraphs>26</Paragraphs>
  <TotalTime>6</TotalTime>
  <ScaleCrop>false</ScaleCrop>
  <LinksUpToDate>false</LinksUpToDate>
  <CharactersWithSpaces>13100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2021-12-28T16:18:00Z</dcterms:created>
  <dc:creator>22638</dc:creator>
  <cp:lastModifiedBy>dyf</cp:lastModifiedBy>
  <cp:lastPrinted>2411-12-31T16:00:00Z</cp:lastPrinted>
  <dcterms:modified xsi:type="dcterms:W3CDTF">2022-01-02T05:46:16Z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33D63162235242AD8D311CF9647297A2</vt:lpwstr>
  </property>
</Properties>
</file>