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ascii="宋体" w:hAnsi="宋体"/>
                <w:szCs w:val="21"/>
                <w:lang w:val="en-US" w:eastAsia="zh-CN"/>
              </w:rPr>
              <w:t>更芯更心更新——星城老旧社区改造（菜市场）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r>
              <w:rPr>
                <w:rFonts w:hint="eastAsia" w:ascii="宋体" w:hAnsi="宋体"/>
                <w:szCs w:val="21"/>
                <w:lang w:val="en-US" w:eastAsia="zh-CN"/>
              </w:rPr>
              <w:t>彭诗涵 秦与 熊俏 李芷欣 向卉文</w:t>
            </w:r>
            <w:bookmarkStart w:id="46" w:name="_GoBack"/>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2021年12月30日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T13874300396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600</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9.1</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8" w:name="北向角度"/>
            <w:r>
              <w:t>124</w:t>
            </w:r>
            <w:bookmarkEnd w:id="18"/>
          </w:p>
        </w:tc>
      </w:tr>
    </w:tbl>
    <w:p>
      <w:pPr>
        <w:jc w:val="center"/>
        <w:rPr>
          <w:lang w:val="en-US"/>
        </w:rPr>
      </w:pPr>
      <w:bookmarkStart w:id="19" w:name="围护结构概况"/>
      <w:bookmarkEnd w:id="19"/>
      <w:bookmarkStart w:id="20" w:name="单体模型观察图"/>
      <w:bookmarkEnd w:id="20"/>
      <w:bookmarkStart w:id="21" w:name="_Toc441480675"/>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438716944"/>
      <w:bookmarkStart w:id="24" w:name="_Toc441480676"/>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800668"/>
      <w:bookmarkStart w:id="26" w:name="_Toc503800603"/>
      <w:bookmarkStart w:id="27" w:name="_Toc503275877"/>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2.9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9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3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2.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29" w:name="公式A1"/>
      <w:r>
        <w:t>23</w:t>
      </w:r>
      <w:bookmarkEnd w:id="2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0" w:name="公式B1"/>
      <w:r>
        <w:t>11</w:t>
      </w:r>
      <w:bookmarkEnd w:id="3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1" w:name="公式C1"/>
      <w:r>
        <w:t>-41</w:t>
      </w:r>
      <w:bookmarkEnd w:id="3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2" w:name="公式A2"/>
      <w:r>
        <w:t>13</w:t>
      </w:r>
      <w:bookmarkEnd w:id="3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3" w:name="公式B2"/>
      <w:r>
        <w:t>11</w:t>
      </w:r>
      <w:bookmarkEnd w:id="3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34" w:name="公式C2"/>
      <w:r>
        <w:t>-18</w:t>
      </w:r>
      <w:bookmarkEnd w:id="3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购物中心与噪声敏感房间之间隔墙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餐厅与噪声敏感房间之间隔墙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购物中心与噪声敏感房间之间楼板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90厚混凝土板+25厚甘蔗板+40厚细石混凝土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61.0</w:t>
            </w:r>
          </w:p>
        </w:tc>
        <w:tc>
          <w:tcPr>
            <w:vAlign w:val="center"/>
          </w:tcPr>
          <w:p>
            <w:r>
              <w:t>59.0</w:t>
            </w:r>
          </w:p>
        </w:tc>
        <w:tc>
          <w:tcPr>
            <w:vAlign w:val="center"/>
          </w:tcPr>
          <w:p>
            <w:r>
              <w:t>66.0</w:t>
            </w:r>
          </w:p>
        </w:tc>
        <w:tc>
          <w:tcPr>
            <w:vAlign w:val="center"/>
          </w:tcPr>
          <w:p>
            <w:r>
              <w:t>59.0</w:t>
            </w:r>
          </w:p>
        </w:tc>
        <w:tc>
          <w:tcPr>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1.0</w:t>
            </w:r>
          </w:p>
        </w:tc>
        <w:tc>
          <w:tcPr>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w:t>
            </w:r>
          </w:p>
        </w:tc>
        <w:tc>
          <w:tcPr>
            <w:vAlign w:val="center"/>
          </w:tcPr>
          <w:p>
            <w:r>
              <w:t>构造名称</w:t>
            </w:r>
          </w:p>
        </w:tc>
        <w:tc>
          <w:tcPr>
            <w:gridSpan w:val="5"/>
            <w:vAlign w:val="center"/>
          </w:tcPr>
          <w:p>
            <w:r>
              <w:t>保温门（多功能门）,单层实体门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钢质门</w:t>
            </w:r>
          </w:p>
          <w:p>
            <w:r>
              <w:t>外面板厚3,空腔厚80,内面板厚1.5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44.0</w:t>
            </w:r>
          </w:p>
        </w:tc>
        <w:tc>
          <w:tcPr>
            <w:vAlign w:val="center"/>
          </w:tcPr>
          <w:p>
            <w:r>
              <w:t>52.0</w:t>
            </w:r>
          </w:p>
        </w:tc>
        <w:tc>
          <w:tcPr>
            <w:vAlign w:val="center"/>
          </w:tcPr>
          <w:p>
            <w:r>
              <w:t>58.0</w:t>
            </w:r>
          </w:p>
        </w:tc>
        <w:tc>
          <w:tcPr>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3.0</w:t>
            </w:r>
          </w:p>
        </w:tc>
        <w:tc>
          <w:tcPr>
            <w:vAlign w:val="center"/>
          </w:tcPr>
          <w:p>
            <w:r>
              <w:t>4.0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37" w:name="撞击声隔声"/>
      <w:bookmarkEnd w:id="37"/>
      <w:r>
        <w:rPr>
          <w:lang w:val="en-US"/>
        </w:rPr>
        <w:t>本工程无此项评价</w:t>
      </w:r>
    </w:p>
    <w:bookmarkEnd w:id="23"/>
    <w:bookmarkEnd w:id="24"/>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购物中心与噪声敏感房间之间隔墙</w:t>
            </w:r>
          </w:p>
        </w:tc>
        <w:tc>
          <w:tcPr>
            <w:vAlign w:val="center"/>
          </w:tcPr>
          <w:p>
            <w:r>
              <w:rPr>
                <w:b/>
              </w:rPr>
              <w:t>48</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餐厅与噪声敏感房间之间隔墙</w:t>
            </w:r>
          </w:p>
        </w:tc>
        <w:tc>
          <w:tcPr>
            <w:vAlign w:val="center"/>
          </w:tcPr>
          <w:p>
            <w:r>
              <w:rPr>
                <w:b/>
              </w:rPr>
              <w:t>48</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购物中心与噪声敏感房间之间楼板</w:t>
            </w:r>
          </w:p>
        </w:tc>
        <w:tc>
          <w:tcPr>
            <w:vAlign w:val="center"/>
          </w:tcPr>
          <w:p>
            <w:r>
              <w:rPr>
                <w:b/>
              </w:rPr>
              <w:t>56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53</w:t>
            </w:r>
          </w:p>
        </w:tc>
        <w:tc>
          <w:tcPr>
            <w:vAlign w:val="center"/>
          </w:tcPr>
          <w:p>
            <w:r>
              <w:t>低限:≥25,高要求:≥30</w:t>
            </w:r>
          </w:p>
        </w:tc>
        <w:tc>
          <w:tcPr>
            <w:vAlign w:val="center"/>
          </w:tcPr>
          <w:p>
            <w:r>
              <w:rPr>
                <w:b/>
              </w:rPr>
              <w:t>满足高要求</w:t>
            </w:r>
          </w:p>
        </w:tc>
      </w:tr>
    </w:tbl>
    <w:p>
      <w:bookmarkStart w:id="38" w:name="构件隔声性能统计"/>
      <w:bookmarkEnd w:id="38"/>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39" w:name="撞击声隔声性能统计"/>
      <w:bookmarkEnd w:id="39"/>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0" w:name="空气声控制项结论"/>
            <w:r>
              <w:rPr>
                <w:rFonts w:hint="eastAsia"/>
                <w:lang w:val="en-US"/>
              </w:rPr>
              <w:t>满足</w:t>
            </w:r>
            <w:bookmarkEnd w:id="40"/>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41" w:name="空气声评分项结论"/>
            <w:r>
              <w:rPr>
                <w:rFonts w:hint="eastAsia"/>
                <w:lang w:val="en-US"/>
              </w:rPr>
              <w:t>满足平均要求</w:t>
            </w:r>
            <w:bookmarkEnd w:id="41"/>
          </w:p>
        </w:tc>
        <w:tc>
          <w:tcPr>
            <w:tcW w:w="737" w:type="dxa"/>
            <w:vAlign w:val="center"/>
          </w:tcPr>
          <w:p>
            <w:pPr>
              <w:jc w:val="center"/>
              <w:rPr>
                <w:lang w:val="en-US"/>
              </w:rPr>
            </w:pPr>
            <w:bookmarkStart w:id="42" w:name="空气声得分"/>
            <w:r>
              <w:rPr>
                <w:rFonts w:hint="eastAsia"/>
                <w:lang w:val="en-US"/>
              </w:rPr>
              <w:t>3</w:t>
            </w:r>
            <w:bookmarkEnd w:id="42"/>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3" w:name="撞击声控制项结论"/>
            <w:r>
              <w:rPr>
                <w:rFonts w:hint="eastAsia"/>
                <w:lang w:val="en-US"/>
              </w:rPr>
              <w:t>本工程无此项评价</w:t>
            </w:r>
            <w:bookmarkEnd w:id="43"/>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44" w:name="撞击声评分项结论"/>
            <w:r>
              <w:rPr>
                <w:rFonts w:hint="eastAsia"/>
                <w:lang w:val="en-US"/>
              </w:rPr>
              <w:t>本工程无此项评价</w:t>
            </w:r>
            <w:bookmarkEnd w:id="44"/>
          </w:p>
        </w:tc>
        <w:tc>
          <w:tcPr>
            <w:tcW w:w="737" w:type="dxa"/>
            <w:vAlign w:val="center"/>
          </w:tcPr>
          <w:p>
            <w:pPr>
              <w:jc w:val="center"/>
              <w:rPr>
                <w:lang w:val="en-US"/>
              </w:rPr>
            </w:pPr>
            <w:bookmarkStart w:id="45" w:name="撞击声得分"/>
            <w:r>
              <w:rPr>
                <w:rFonts w:hint="eastAsia"/>
                <w:lang w:val="en-US"/>
              </w:rPr>
              <w:t>--</w:t>
            </w:r>
            <w:bookmarkEnd w:id="45"/>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AF7202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uiPriority w:val="0"/>
  </w:style>
  <w:style w:type="character" w:styleId="25">
    <w:name w:val="Hyperlink"/>
    <w:qFormat/>
    <w:uiPriority w:val="0"/>
    <w:rPr>
      <w:color w:val="0000FF"/>
      <w:u w:val="single"/>
    </w:rPr>
  </w:style>
  <w:style w:type="character" w:customStyle="1" w:styleId="26">
    <w:name w:val="正文文本缩进 Char2"/>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uiPriority w:val="0"/>
    <w:rPr>
      <w:rFonts w:ascii="微软雅黑" w:hAnsi="微软雅黑" w:eastAsia="微软雅黑" w:cs="微软雅黑"/>
      <w:b/>
      <w:bCs/>
      <w:kern w:val="32"/>
      <w:sz w:val="28"/>
      <w:szCs w:val="28"/>
    </w:rPr>
  </w:style>
  <w:style w:type="character" w:customStyle="1" w:styleId="32">
    <w:name w:val="副标题 Char"/>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uiPriority w:val="0"/>
    <w:rPr>
      <w:sz w:val="24"/>
      <w:szCs w:val="24"/>
      <w:lang w:val="en-GB"/>
    </w:rPr>
  </w:style>
  <w:style w:type="character" w:customStyle="1" w:styleId="36">
    <w:name w:val="批注框文本 Char"/>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Company>ths</Company>
  <Pages>9</Pages>
  <Words>843</Words>
  <Characters>4807</Characters>
  <Lines>40</Lines>
  <Paragraphs>11</Paragraphs>
  <TotalTime>1</TotalTime>
  <ScaleCrop>false</ScaleCrop>
  <LinksUpToDate>false</LinksUpToDate>
  <CharactersWithSpaces>5639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admin</cp:lastModifiedBy>
  <cp:lastPrinted>1900-12-31T16:00:00Z</cp:lastPrinted>
  <dcterms:modified xsi:type="dcterms:W3CDTF">2022-01-04T14:52:15Z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B78ED06DEDBE4A03AA8E4E436AB2B467</vt:lpwstr>
  </property>
</Properties>
</file>