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bookmarkEnd w:id="0"/>
            <w:r>
              <w:rPr>
                <w:rFonts w:hint="eastAsia" w:ascii="宋体" w:hAnsi="宋体"/>
                <w:szCs w:val="21"/>
                <w:lang w:val="en-US" w:eastAsia="zh-CN"/>
              </w:rPr>
              <w:t>更芯更心更新——星城老旧社区改造（菜市场）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长沙</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r>
              <w:rPr>
                <w:rFonts w:hint="eastAsia" w:ascii="宋体" w:hAnsi="宋体"/>
                <w:szCs w:val="21"/>
                <w:lang w:val="en-US" w:eastAsia="zh-CN"/>
              </w:rPr>
              <w:t>彭诗涵 秦与 熊俏 李芷欣 向卉文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T13874300396</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"_Toc38533094" </w:instrText>
      </w:r>
      <w:r>
        <w:fldChar w:fldCharType="separate"/>
      </w:r>
      <w:r>
        <w:rPr>
          <w:rStyle w:val="22"/>
          <w:kern w:val="32"/>
        </w:rPr>
        <w:t>1.</w:t>
      </w:r>
      <w:r>
        <w:rPr>
          <w:rFonts w:asciiTheme="minorHAnsi" w:hAnsiTheme="minorHAnsi" w:eastAsiaTheme="minorEastAsia" w:cstheme="minorBidi"/>
          <w:szCs w:val="22"/>
        </w:rPr>
        <w:tab/>
      </w:r>
      <w:r>
        <w:rPr>
          <w:rStyle w:val="22"/>
          <w:rFonts w:hint="eastAsia"/>
          <w:kern w:val="32"/>
        </w:rPr>
        <w:t>项目概况</w:t>
      </w:r>
      <w:r>
        <w:tab/>
      </w:r>
      <w:r>
        <w:fldChar w:fldCharType="begin"/>
      </w:r>
      <w:r>
        <w:instrText xml:space="preserve"> PAGEREF _Toc38533094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"_Toc38533095"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_Toc38533095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"_Toc38533096"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_Toc38533096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"_Toc38533097"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_Toc38533097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"_Toc38533098" </w:instrText>
      </w:r>
      <w:r>
        <w:fldChar w:fldCharType="separate"/>
      </w:r>
      <w:r>
        <w:rPr>
          <w:rStyle w:val="22"/>
          <w:rFonts w:ascii="Arial" w:hAnsi="Arial"/>
          <w:kern w:val="32"/>
        </w:rPr>
        <w:t>2</w:t>
      </w:r>
      <w:r>
        <w:rPr>
          <w:rFonts w:asciiTheme="minorHAnsi" w:hAnsiTheme="minorHAnsi" w:eastAsiaTheme="minorEastAsia" w:cstheme="minorBidi"/>
          <w:szCs w:val="22"/>
        </w:rPr>
        <w:tab/>
      </w:r>
      <w:r>
        <w:rPr>
          <w:rStyle w:val="22"/>
          <w:rFonts w:hint="eastAsia"/>
          <w:kern w:val="32"/>
        </w:rPr>
        <w:t>参考标准</w:t>
      </w:r>
      <w:r>
        <w:tab/>
      </w:r>
      <w:r>
        <w:fldChar w:fldCharType="begin"/>
      </w:r>
      <w:r>
        <w:instrText xml:space="preserve"> PAGEREF _Toc38533098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"_Toc38533099" </w:instrText>
      </w:r>
      <w:r>
        <w:fldChar w:fldCharType="separate"/>
      </w:r>
      <w:r>
        <w:rPr>
          <w:rStyle w:val="22"/>
          <w:rFonts w:ascii="Arial" w:hAnsi="Arial"/>
          <w:kern w:val="32"/>
        </w:rPr>
        <w:t>3</w:t>
      </w:r>
      <w:r>
        <w:rPr>
          <w:rFonts w:asciiTheme="minorHAnsi" w:hAnsiTheme="minorHAnsi" w:eastAsiaTheme="minorEastAsia" w:cstheme="minorBidi"/>
          <w:szCs w:val="22"/>
        </w:rPr>
        <w:tab/>
      </w:r>
      <w:r>
        <w:rPr>
          <w:rStyle w:val="22"/>
          <w:rFonts w:hint="eastAsia"/>
          <w:kern w:val="32"/>
        </w:rPr>
        <w:t>评价标准</w:t>
      </w:r>
      <w:r>
        <w:tab/>
      </w:r>
      <w:r>
        <w:fldChar w:fldCharType="begin"/>
      </w:r>
      <w:r>
        <w:instrText xml:space="preserve"> PAGEREF _Toc38533099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"_Toc38533100"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计算流程</w:t>
      </w:r>
      <w:r>
        <w:tab/>
      </w:r>
      <w:r>
        <w:fldChar w:fldCharType="begin"/>
      </w:r>
      <w:r>
        <w:instrText xml:space="preserve"> PAGEREF _Toc38533100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"_Toc38533101" </w:instrText>
      </w:r>
      <w:r>
        <w:fldChar w:fldCharType="separate"/>
      </w:r>
      <w:r>
        <w:rPr>
          <w:rStyle w:val="22"/>
          <w:rFonts w:ascii="Arial" w:hAnsi="Arial"/>
          <w:kern w:val="32"/>
        </w:rPr>
        <w:t>5</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_Toc38533101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"_Toc38533102" </w:instrText>
      </w:r>
      <w:r>
        <w:fldChar w:fldCharType="separate"/>
      </w:r>
      <w:r>
        <w:rPr>
          <w:rStyle w:val="22"/>
        </w:rPr>
        <w:t>5.1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_Toc38533102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"_Toc38533103" </w:instrText>
      </w:r>
      <w:r>
        <w:fldChar w:fldCharType="separate"/>
      </w:r>
      <w:r>
        <w:rPr>
          <w:rStyle w:val="22"/>
        </w:rPr>
        <w:t>5.2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_Toc38533103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"_Toc38533104" </w:instrText>
      </w:r>
      <w:r>
        <w:fldChar w:fldCharType="separate"/>
      </w:r>
      <w:r>
        <w:rPr>
          <w:rStyle w:val="22"/>
        </w:rPr>
        <w:t>5.3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_Toc38533104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"_Toc38533105" </w:instrText>
      </w:r>
      <w:r>
        <w:fldChar w:fldCharType="separate"/>
      </w:r>
      <w:r>
        <w:rPr>
          <w:rStyle w:val="22"/>
        </w:rPr>
        <w:t>5.4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_Toc38533105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"_Toc38533106" </w:instrText>
      </w:r>
      <w:r>
        <w:fldChar w:fldCharType="separate"/>
      </w:r>
      <w:r>
        <w:rPr>
          <w:rStyle w:val="22"/>
          <w:rFonts w:ascii="Arial" w:hAnsi="Arial"/>
          <w:kern w:val="32"/>
        </w:rPr>
        <w:t>6</w:t>
      </w:r>
      <w:r>
        <w:rPr>
          <w:rFonts w:asciiTheme="minorHAnsi" w:hAnsiTheme="minorHAnsi" w:eastAsiaTheme="minorEastAsia" w:cstheme="minorBidi"/>
          <w:szCs w:val="22"/>
        </w:rPr>
        <w:tab/>
      </w:r>
      <w:r>
        <w:rPr>
          <w:rStyle w:val="22"/>
          <w:rFonts w:hint="eastAsia"/>
          <w:kern w:val="32"/>
        </w:rPr>
        <w:t>计算结果</w:t>
      </w:r>
      <w:r>
        <w:tab/>
      </w:r>
      <w:r>
        <w:fldChar w:fldCharType="begin"/>
      </w:r>
      <w:r>
        <w:instrText xml:space="preserve"> PAGEREF _Toc38533106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"_Toc38533107" </w:instrText>
      </w:r>
      <w:r>
        <w:fldChar w:fldCharType="separate"/>
      </w:r>
      <w:r>
        <w:rPr>
          <w:rStyle w:val="22"/>
          <w:rFonts w:ascii="Arial" w:hAnsi="Arial"/>
          <w:kern w:val="32"/>
        </w:rPr>
        <w:t>7</w:t>
      </w:r>
      <w:r>
        <w:rPr>
          <w:rFonts w:asciiTheme="minorHAnsi" w:hAnsiTheme="minorHAnsi" w:eastAsiaTheme="minorEastAsia" w:cstheme="minorBidi"/>
          <w:szCs w:val="22"/>
        </w:rPr>
        <w:tab/>
      </w:r>
      <w:r>
        <w:rPr>
          <w:rStyle w:val="22"/>
          <w:rFonts w:hint="eastAsia"/>
          <w:kern w:val="32"/>
        </w:rPr>
        <w:t>结论</w:t>
      </w:r>
      <w:r>
        <w:tab/>
      </w:r>
      <w:r>
        <w:fldChar w:fldCharType="begin"/>
      </w:r>
      <w:r>
        <w:instrText xml:space="preserve"> PAGEREF _Toc38533107 \h </w:instrText>
      </w:r>
      <w:r>
        <w:fldChar w:fldCharType="separate"/>
      </w:r>
      <w:r>
        <w:rPr>
          <w:rFonts w:hint="eastAsia"/>
          <w:b/>
          <w:bCs/>
        </w:rPr>
        <w:t>错误!未定义书签。</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项目概况</w:t>
      </w:r>
    </w:p>
    <w:p>
      <w:pPr>
        <w:pStyle w:val="3"/>
        <w:rPr>
          <w:sz w:val="24"/>
          <w:szCs w:val="24"/>
        </w:rPr>
      </w:pPr>
      <w:r>
        <w:rPr>
          <w:rFonts w:hint="eastAsia"/>
          <w:sz w:val="24"/>
          <w:szCs w:val="24"/>
        </w:rPr>
        <w:t>建筑基本信息</w:t>
      </w:r>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r>
        <w:rPr>
          <w:rFonts w:hint="eastAsia"/>
          <w:sz w:val="24"/>
          <w:szCs w:val="24"/>
        </w:rPr>
        <w:t>建筑</w:t>
      </w:r>
      <w:r>
        <w:rPr>
          <w:rFonts w:hint="eastAsia"/>
          <w:sz w:val="24"/>
          <w:szCs w:val="24"/>
          <w:lang w:eastAsia="zh-CN"/>
        </w:rPr>
        <w:t>平面</w:t>
      </w:r>
      <w:r>
        <w:rPr>
          <w:rFonts w:hint="eastAsia"/>
          <w:sz w:val="24"/>
          <w:szCs w:val="24"/>
        </w:rPr>
        <w:t>图</w:t>
      </w:r>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1" w:name="平面图"/>
      <w:bookmarkEnd w:id="11"/>
      <w:r>
        <w:drawing>
          <wp:inline distT="0" distB="0" distL="0" distR="0">
            <wp:extent cx="5667375" cy="34575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5667375" cy="34575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36957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667375" cy="36957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r>
        <w:rPr>
          <w:rFonts w:hint="eastAsia"/>
          <w:sz w:val="24"/>
          <w:szCs w:val="24"/>
        </w:rPr>
        <w:t>建筑三维轴测图</w:t>
      </w:r>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2" w:name="三维视图"/>
            <w:r>
              <w:t>请先在[模型观察]命令中保存图片！</w:t>
            </w:r>
            <w:bookmarkEnd w:id="12"/>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参考标准</w:t>
      </w:r>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评价标准</w:t>
      </w:r>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计算原理</w:t>
      </w:r>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55pt;width:410.1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计算参数</w:t>
      </w:r>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
        <w:numPr>
          <w:ilvl w:val="1"/>
          <w:numId w:val="4"/>
        </w:numPr>
        <w:rPr>
          <w:sz w:val="24"/>
          <w:szCs w:val="24"/>
        </w:rPr>
      </w:pPr>
      <w:r>
        <w:rPr>
          <w:rFonts w:hint="eastAsia"/>
          <w:sz w:val="24"/>
          <w:szCs w:val="24"/>
        </w:rPr>
        <w:t>渗透风量</w:t>
      </w:r>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13" w:name="渗透风量"/>
      <w:r>
        <w:t>本项目忽略渗透风量的影响。</w:t>
      </w:r>
      <w:bookmarkEnd w:id="13"/>
    </w:p>
    <w:p>
      <w:pPr>
        <w:pStyle w:val="3"/>
        <w:rPr>
          <w:sz w:val="24"/>
          <w:szCs w:val="24"/>
        </w:rPr>
      </w:pPr>
      <w:r>
        <w:rPr>
          <w:rFonts w:hint="eastAsia"/>
          <w:sz w:val="24"/>
          <w:szCs w:val="24"/>
        </w:rPr>
        <w:t>室内颗粒物源强</w:t>
      </w:r>
    </w:p>
    <w:p>
      <w:pPr>
        <w:ind w:left="424" w:leftChars="202"/>
        <w:rPr>
          <w:rFonts w:ascii="宋体" w:hAnsi="宋体" w:eastAsia="宋体"/>
        </w:rPr>
      </w:pPr>
      <w:bookmarkStart w:id="14" w:name="室内颗粒物源强表"/>
      <w:r>
        <w:t>该项目室内颗粒物源强为0。</w:t>
      </w:r>
      <w:bookmarkEnd w:id="14"/>
    </w:p>
    <w:p>
      <w:pPr>
        <w:jc w:val="center"/>
        <w:rPr>
          <w:rFonts w:ascii="宋体" w:hAnsi="宋体" w:eastAsia="宋体"/>
        </w:rPr>
      </w:pPr>
    </w:p>
    <w:p>
      <w:pPr>
        <w:pStyle w:val="3"/>
        <w:rPr>
          <w:sz w:val="24"/>
          <w:szCs w:val="24"/>
        </w:rPr>
      </w:pPr>
      <w:r>
        <w:rPr>
          <w:rFonts w:hint="eastAsia"/>
          <w:sz w:val="24"/>
          <w:szCs w:val="24"/>
        </w:rPr>
        <w:t>室外颗粒物污染源浓度</w:t>
      </w:r>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15" w:name="室外颗粒物逐时浓度图"/>
      <w:bookmarkEnd w:id="15"/>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r>
        <w:rPr>
          <w:rFonts w:hint="eastAsia"/>
          <w:sz w:val="24"/>
          <w:szCs w:val="24"/>
        </w:rPr>
        <w:t>房间通风净化</w:t>
      </w:r>
    </w:p>
    <w:p>
      <w:pPr>
        <w:jc w:val="center"/>
        <w:rPr>
          <w:rFonts w:ascii="宋体" w:hAnsi="宋体" w:eastAsia="宋体"/>
        </w:rPr>
      </w:pPr>
      <w:bookmarkStart w:id="16" w:name="房间及渗透风量表"/>
      <w:bookmarkEnd w:id="16"/>
    </w:p>
    <w:p>
      <w:pPr>
        <w:rPr>
          <w:rFonts w:ascii="宋体" w:hAnsi="宋体" w:eastAsia="宋体"/>
          <w:lang w:val="zh-CN" w:eastAsia="zh-CN"/>
        </w:rPr>
      </w:pPr>
    </w:p>
    <w:p>
      <w:pPr>
        <w:jc w:val="center"/>
        <w:rPr>
          <w:rFonts w:ascii="宋体" w:hAnsi="宋体" w:eastAsia="宋体"/>
        </w:rPr>
      </w:pPr>
      <w:bookmarkStart w:id="17" w:name="通风净化表"/>
      <w:bookmarkEnd w:id="17"/>
      <w:r>
        <w:rPr>
          <w:rFonts w:ascii="宋体" w:hAnsi="宋体" w:eastAsia="宋体"/>
          <w:sz w:val="20"/>
          <w:szCs w:val="20"/>
        </w:rPr>
        <w:t>表5.4-1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1001</w:t>
            </w:r>
          </w:p>
        </w:tc>
        <w:tc>
          <w:tcPr>
            <w:vAlign w:val="center"/>
          </w:tcPr>
          <w:p>
            <w:pPr>
              <w:jc w:val="center"/>
            </w:pPr>
            <w:r>
              <w:t>商店</w:t>
            </w:r>
          </w:p>
        </w:tc>
        <w:tc>
          <w:tcPr>
            <w:vAlign w:val="center"/>
          </w:tcPr>
          <w:p>
            <w:pPr>
              <w:jc w:val="center"/>
            </w:pPr>
            <w:r>
              <w:t>915.3</w:t>
            </w:r>
          </w:p>
        </w:tc>
        <w:tc>
          <w:tcPr>
            <w:vAlign w:val="center"/>
          </w:tcPr>
          <w:p>
            <w:pPr>
              <w:jc w:val="center"/>
            </w:pPr>
            <w:r>
              <w:t>0.9</w:t>
            </w:r>
          </w:p>
        </w:tc>
        <w:tc>
          <w:tcPr>
            <w:vAlign w:val="center"/>
          </w:tcPr>
          <w:p>
            <w:pPr>
              <w:jc w:val="center"/>
            </w:pPr>
            <w:r>
              <w:t>3051.1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1002</w:t>
            </w:r>
          </w:p>
        </w:tc>
        <w:tc>
          <w:tcPr>
            <w:vAlign w:val="center"/>
          </w:tcPr>
          <w:p>
            <w:pPr>
              <w:jc w:val="center"/>
            </w:pPr>
            <w:r>
              <w:t>菜场</w:t>
            </w:r>
          </w:p>
        </w:tc>
        <w:tc>
          <w:tcPr>
            <w:vAlign w:val="center"/>
          </w:tcPr>
          <w:p>
            <w:pPr>
              <w:jc w:val="center"/>
            </w:pPr>
            <w:r>
              <w:t>11880.7</w:t>
            </w:r>
          </w:p>
        </w:tc>
        <w:tc>
          <w:tcPr>
            <w:vAlign w:val="center"/>
          </w:tcPr>
          <w:p>
            <w:pPr>
              <w:jc w:val="center"/>
            </w:pPr>
            <w:r>
              <w:t>0.9</w:t>
            </w:r>
          </w:p>
        </w:tc>
        <w:tc>
          <w:tcPr>
            <w:vAlign w:val="center"/>
          </w:tcPr>
          <w:p>
            <w:pPr>
              <w:jc w:val="center"/>
            </w:pPr>
            <w:r>
              <w:t>39602.4</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2001</w:t>
            </w:r>
          </w:p>
        </w:tc>
        <w:tc>
          <w:tcPr>
            <w:vAlign w:val="center"/>
          </w:tcPr>
          <w:p>
            <w:pPr>
              <w:jc w:val="center"/>
            </w:pPr>
            <w:r>
              <w:t>餐厅</w:t>
            </w:r>
          </w:p>
        </w:tc>
        <w:tc>
          <w:tcPr>
            <w:vAlign w:val="center"/>
          </w:tcPr>
          <w:p>
            <w:pPr>
              <w:jc w:val="center"/>
            </w:pPr>
            <w:r>
              <w:t>1854.3</w:t>
            </w:r>
          </w:p>
        </w:tc>
        <w:tc>
          <w:tcPr>
            <w:vAlign w:val="center"/>
          </w:tcPr>
          <w:p>
            <w:pPr>
              <w:jc w:val="center"/>
            </w:pPr>
            <w:r>
              <w:t>0.9</w:t>
            </w:r>
          </w:p>
        </w:tc>
        <w:tc>
          <w:tcPr>
            <w:vAlign w:val="center"/>
          </w:tcPr>
          <w:p>
            <w:pPr>
              <w:jc w:val="center"/>
            </w:pPr>
            <w:r>
              <w:t>6181.1</w:t>
            </w:r>
          </w:p>
        </w:tc>
        <w:tc>
          <w:tcPr>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计算结果</w:t>
      </w:r>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1001</w:t>
            </w:r>
          </w:p>
        </w:tc>
        <w:tc>
          <w:tcPr>
            <w:vAlign w:val="center"/>
          </w:tcPr>
          <w:p>
            <w:pPr>
              <w:jc w:val="center"/>
            </w:pPr>
            <w:r>
              <w:t>商店</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1002</w:t>
            </w:r>
          </w:p>
        </w:tc>
        <w:tc>
          <w:tcPr>
            <w:vAlign w:val="center"/>
          </w:tcPr>
          <w:p>
            <w:pPr>
              <w:jc w:val="center"/>
            </w:pPr>
            <w:r>
              <w:t>菜场</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2001</w:t>
            </w:r>
          </w:p>
        </w:tc>
        <w:tc>
          <w:tcPr>
            <w:vAlign w:val="center"/>
          </w:tcPr>
          <w:p>
            <w:pPr>
              <w:jc w:val="center"/>
            </w:pPr>
            <w:r>
              <w:t>餐厅</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bl>
    <w:p>
      <w:pPr>
        <w:jc w:val="center"/>
        <w:rPr>
          <w:rFonts w:ascii="宋体" w:hAnsi="宋体" w:eastAsia="宋体"/>
          <w:b/>
        </w:rPr>
      </w:pPr>
      <w:bookmarkStart w:id="18" w:name="室内颗粒物达标判定表"/>
      <w:bookmarkEnd w:id="18"/>
    </w:p>
    <w:p>
      <w:pPr>
        <w:jc w:val="center"/>
        <w:rPr>
          <w:rFonts w:ascii="宋体" w:hAnsi="宋体" w:eastAsia="宋体"/>
          <w:b/>
        </w:rPr>
      </w:pPr>
    </w:p>
    <w:p>
      <w:pPr>
        <w:jc w:val="center"/>
        <w:rPr>
          <w:rFonts w:ascii="宋体" w:hAnsi="宋体" w:eastAsia="宋体"/>
          <w:b/>
        </w:rPr>
      </w:pPr>
      <w:bookmarkStart w:id="19" w:name="颗粒物达标判定图"/>
      <w:bookmarkEnd w:id="19"/>
      <w:r>
        <w:drawing>
          <wp:inline distT="0" distB="0" distL="0" distR="0">
            <wp:extent cx="5667375" cy="36099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6"/>
                    <a:stretch>
                      <a:fillRect/>
                    </a:stretch>
                  </pic:blipFill>
                  <pic:spPr>
                    <a:xfrm>
                      <a:off x="0" y="0"/>
                      <a:ext cx="5667375" cy="360997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1001</w:t>
            </w:r>
          </w:p>
        </w:tc>
        <w:tc>
          <w:tcPr>
            <w:vAlign w:val="center"/>
          </w:tcPr>
          <w:p>
            <w:pPr>
              <w:jc w:val="center"/>
            </w:pPr>
            <w:r>
              <w:t>商店</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1002</w:t>
            </w:r>
          </w:p>
        </w:tc>
        <w:tc>
          <w:tcPr>
            <w:vAlign w:val="center"/>
          </w:tcPr>
          <w:p>
            <w:pPr>
              <w:jc w:val="center"/>
            </w:pPr>
            <w:r>
              <w:t>菜场</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2001</w:t>
            </w:r>
          </w:p>
        </w:tc>
        <w:tc>
          <w:tcPr>
            <w:vAlign w:val="center"/>
          </w:tcPr>
          <w:p>
            <w:pPr>
              <w:jc w:val="center"/>
            </w:pPr>
            <w:r>
              <w:t>餐厅</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eastAsia="宋体" w:cs="Times New Roman"/>
          <w:b/>
          <w:szCs w:val="21"/>
        </w:rPr>
      </w:pPr>
      <w:bookmarkStart w:id="20" w:name="室内PM10日均值达标判定表"/>
      <w:bookmarkEnd w:id="20"/>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21" w:name="PM10日均值达标判定图"/>
      <w:bookmarkEnd w:id="21"/>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结论</w:t>
      </w:r>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22" w:name="颗粒物计算结果"/>
            <w:r>
              <w:rPr>
                <w:rFonts w:ascii="Times New Roman" w:hAnsi="Times New Roman" w:eastAsia="宋体" w:cs="Times New Roman"/>
                <w:sz w:val="20"/>
                <w:szCs w:val="20"/>
              </w:rPr>
              <w:t>PM2.5年均浓度1μg/m³
PM10年均浓度2μg/m³</w:t>
            </w:r>
            <w:bookmarkEnd w:id="22"/>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23" w:name="颗粒物评分项结论"/>
            <w:r>
              <w:rPr>
                <w:rFonts w:ascii="宋体" w:hAnsi="宋体" w:eastAsia="宋体"/>
                <w:b/>
                <w:bCs/>
                <w:sz w:val="20"/>
                <w:szCs w:val="20"/>
              </w:rPr>
              <w:t>满足</w:t>
            </w:r>
            <w:bookmarkEnd w:id="23"/>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24" w:name="颗粒物评分项得分"/>
            <w:r>
              <w:rPr>
                <w:rFonts w:ascii="宋体" w:hAnsi="宋体" w:eastAsia="宋体"/>
                <w:b/>
                <w:bCs/>
                <w:sz w:val="20"/>
                <w:szCs w:val="20"/>
              </w:rPr>
              <w:t>6</w:t>
            </w:r>
            <w:bookmarkEnd w:id="24"/>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AC82EF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qFormat/>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qFormat/>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qFormat/>
    <w:uiPriority w:val="99"/>
    <w:rPr>
      <w:sz w:val="20"/>
      <w:szCs w:val="20"/>
    </w:rPr>
  </w:style>
  <w:style w:type="character" w:customStyle="1" w:styleId="41">
    <w:name w:val="批注主题 Char"/>
    <w:basedOn w:val="40"/>
    <w:link w:val="1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绿色建筑颗粒物预评价报告书2.dotx</Template>
  <Company>Microsoft</Company>
  <Pages>6</Pages>
  <Words>473</Words>
  <Characters>2698</Characters>
  <Lines>22</Lines>
  <Paragraphs>6</Paragraphs>
  <TotalTime>1</TotalTime>
  <ScaleCrop>false</ScaleCrop>
  <LinksUpToDate>false</LinksUpToDate>
  <CharactersWithSpaces>3165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2020-06-03T09:57:00Z</dcterms:created>
  <dc:creator>user</dc:creator>
  <cp:lastModifiedBy>admin</cp:lastModifiedBy>
  <dcterms:modified xsi:type="dcterms:W3CDTF">2022-03-09T13:38:39Z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90BD360E5DC04A91AA5C153345CB6992</vt:lpwstr>
  </property>
</Properties>
</file>