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emf" ContentType="image/x-emf"/>
  <Default Extension="png" ContentType="image/png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">
  <w:body>
    <w:p w14:paraId="3B12ABE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6595A70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CEF6A42" w14:textId="6A656AA6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47CC2B36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EA28A29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79FE498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C9B350A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294E9B1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124DD57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117A0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58249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福建-福州</w:t>
            </w:r>
            <w:bookmarkEnd w:id="2"/>
          </w:p>
        </w:tc>
      </w:tr>
      <w:tr w:rsidR="00D40158" w:rsidRPr="00D40158" w14:paraId="750B97B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01EA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7856F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AF7296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C830E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308FDA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88E39D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FB864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A5ACD9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A114BD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4D4C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74774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09053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98526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29DE9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E99F9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19590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F796A2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2E7F2DF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9BA298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DB9730A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6ACA7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012FC5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367D532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2022年03月05日</w:t>
            </w:r>
            <w:bookmarkEnd w:id="6"/>
          </w:p>
        </w:tc>
      </w:tr>
    </w:tbl>
    <w:p w14:paraId="08E5EEE8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780AEC2E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56139FDD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628946" cy="1628946"/>
            <wp:effectExtent l="0" t="0" r="0" b="0"/>
            <wp:docPr id="5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1ea524defb44e0b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079BE567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  <w:bookmarkStart w:id="8" w:name="_GoBack"/>
      <w:bookmarkEnd w:id="8"/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184543A3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2BC5B7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F0D9CCE" w14:textId="43A2D4A8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绿建斯维尔室内热舒适评价ITES2020</w:t>
            </w:r>
          </w:p>
        </w:tc>
      </w:tr>
      <w:tr w:rsidR="00AC0859" w:rsidRPr="003539C2" w14:paraId="2CC12DFE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40828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29DD603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 w:rsidRPr="00F7608E">
              <w:rPr>
                <w:rFonts w:ascii="宋体" w:hAnsi="宋体"/>
              </w:rPr>
              <w:t>20200808</w:t>
            </w:r>
            <w:bookmarkEnd w:id="9"/>
          </w:p>
        </w:tc>
      </w:tr>
      <w:tr w:rsidR="00AC0859" w:rsidRPr="003539C2" w14:paraId="622AA54D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0E477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839B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07BA8B6E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145EE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D8A8FC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T13305991769</w:t>
            </w:r>
            <w:bookmarkEnd w:id="10"/>
          </w:p>
        </w:tc>
      </w:tr>
    </w:tbl>
    <w:p w14:paraId="2606D45C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1" w:name="目录"/>
    <w:p w14:paraId="6F0D937A" w14:textId="77777777" w:rsidR="00EB71E9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38892129" w:history="1">
        <w:r w:rsidR="00EB71E9" w:rsidRPr="005D1DEB">
          <w:rPr>
            <w:rStyle w:val="a6"/>
          </w:rPr>
          <w:t>1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项目概况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_Toc38892129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3</w:t>
        </w:r>
        <w:r w:rsidR="00EB71E9">
          <w:rPr>
            <w:webHidden/>
          </w:rPr>
          <w:fldChar w:fldCharType="end"/>
        </w:r>
      </w:hyperlink>
    </w:p>
    <w:p w14:paraId="76DFA927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0" w:history="1">
        <w:r w:rsidR="00EB71E9" w:rsidRPr="005D1DEB">
          <w:rPr>
            <w:rStyle w:val="a6"/>
            <w:lang w:val="en-GB"/>
          </w:rPr>
          <w:t>1.1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平面图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4</w:t>
        </w:r>
        <w:r w:rsidR="00EB71E9">
          <w:rPr>
            <w:webHidden/>
          </w:rPr>
          <w:fldChar w:fldCharType="end"/>
        </w:r>
      </w:hyperlink>
    </w:p>
    <w:p w14:paraId="7D69247E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1" w:history="1">
        <w:r w:rsidR="00EB71E9" w:rsidRPr="005D1DEB">
          <w:rPr>
            <w:rStyle w:val="a6"/>
            <w:lang w:val="en-GB"/>
          </w:rPr>
          <w:t>1.2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三维视图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45A9E232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2" w:history="1">
        <w:r w:rsidR="00EB71E9" w:rsidRPr="005D1DEB">
          <w:rPr>
            <w:rStyle w:val="a6"/>
          </w:rPr>
          <w:t>2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计算依据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21576BB6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3" w:history="1">
        <w:r w:rsidR="00EB71E9" w:rsidRPr="005D1DEB">
          <w:rPr>
            <w:rStyle w:val="a6"/>
          </w:rPr>
          <w:t>3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参考标准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31CBECE6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4" w:history="1">
        <w:r w:rsidR="00EB71E9" w:rsidRPr="005D1DEB">
          <w:rPr>
            <w:rStyle w:val="a6"/>
          </w:rPr>
          <w:t>4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计算方法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774C0DD7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5" w:history="1">
        <w:r w:rsidR="00EB71E9" w:rsidRPr="005D1DEB">
          <w:rPr>
            <w:rStyle w:val="a6"/>
            <w:lang w:val="en-GB"/>
          </w:rPr>
          <w:t>4.1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参数定义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_Toc38892135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3BBBEC96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6" w:history="1">
        <w:r w:rsidR="00EB71E9" w:rsidRPr="005D1DEB">
          <w:rPr>
            <w:rStyle w:val="a6"/>
            <w:lang w:val="en-GB"/>
          </w:rPr>
          <w:t>4.2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计算流程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_Toc38892136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33701D85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7" w:history="1">
        <w:r w:rsidR="00EB71E9" w:rsidRPr="005D1DEB">
          <w:rPr>
            <w:rStyle w:val="a6"/>
            <w:lang w:val="en-GB"/>
          </w:rPr>
          <w:t>4.3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计算参数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_Toc38892137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6F2947C9" w14:textId="77777777" w:rsidR="00EB71E9" w:rsidRDefault="00D650B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38892138" w:history="1">
        <w:r w:rsidR="00EB71E9" w:rsidRPr="005D1DEB">
          <w:rPr>
            <w:rStyle w:val="a6"/>
            <w:lang w:val="en-GB"/>
          </w:rPr>
          <w:t>4.3.1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室外月平均温度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_Toc38892138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DB3ED5F" w14:textId="77777777" w:rsidR="00EB71E9" w:rsidRDefault="00D650B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38892139" w:history="1">
        <w:r w:rsidR="00EB71E9" w:rsidRPr="005D1DEB">
          <w:rPr>
            <w:rStyle w:val="a6"/>
            <w:lang w:val="en-GB"/>
          </w:rPr>
          <w:t>4.3.2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室内热舒适温度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AA61906" w14:textId="77777777" w:rsidR="00EB71E9" w:rsidRDefault="00D650B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38892140" w:history="1">
        <w:r w:rsidR="00EB71E9" w:rsidRPr="005D1DEB">
          <w:rPr>
            <w:rStyle w:val="a6"/>
            <w:lang w:val="en-GB"/>
          </w:rPr>
          <w:t>4.3.3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围护结构热工性能参数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711AC7E7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1" w:history="1">
        <w:r w:rsidR="00EB71E9" w:rsidRPr="005D1DEB">
          <w:rPr>
            <w:rStyle w:val="a6"/>
          </w:rPr>
          <w:t>5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结果分析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2B73E91F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42" w:history="1">
        <w:r w:rsidR="00EB71E9" w:rsidRPr="005D1DEB">
          <w:rPr>
            <w:rStyle w:val="a6"/>
            <w:lang w:val="en-GB"/>
          </w:rPr>
          <w:t>5.1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室内适应性热舒适温度达标比例统计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8C31C03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3" w:history="1">
        <w:r w:rsidR="00EB71E9" w:rsidRPr="005D1DEB">
          <w:rPr>
            <w:rStyle w:val="a6"/>
          </w:rPr>
          <w:t>6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结论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0165916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4" w:history="1">
        <w:r w:rsidR="00EB71E9" w:rsidRPr="005D1DEB">
          <w:rPr>
            <w:rStyle w:val="a6"/>
          </w:rPr>
          <w:t>7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附录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44646B19" w14:textId="77777777" w:rsidR="00AA47FE" w:rsidRDefault="00D40158" w:rsidP="004C7D33">
      <w:pPr>
        <w:pStyle w:val="10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1"/>
    </w:p>
    <w:p w14:paraId="5B6D6A35" w14:textId="77777777" w:rsidR="0000578F" w:rsidRDefault="0000578F" w:rsidP="0000578F">
      <w:pPr>
        <w:pStyle w:val="1"/>
      </w:pPr>
      <w:bookmarkStart w:id="12" w:name="_Toc452108759"/>
      <w:bookmarkStart w:id="13" w:name="_Toc38892129"/>
      <w:r w:rsidRPr="0000578F">
        <w:rPr>
          <w:rFonts w:hint="eastAsia"/>
        </w:rPr>
        <w:t>项目概况</w:t>
      </w:r>
      <w:bookmarkEnd w:id="12"/>
      <w:bookmarkEnd w:id="13"/>
    </w:p>
    <w:p w14:paraId="0F906213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14:paraId="310F3F2E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30F79E1B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267935D8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1313769D" w14:textId="77777777" w:rsidR="0000578F" w:rsidRDefault="0000578F" w:rsidP="00DC62E7">
      <w:pPr>
        <w:pStyle w:val="2"/>
      </w:pPr>
      <w:bookmarkStart w:id="15" w:name="_Toc452108760"/>
      <w:bookmarkStart w:id="16" w:name="_Toc38892130"/>
      <w:r>
        <w:t>平面图</w:t>
      </w:r>
      <w:bookmarkEnd w:id="15"/>
      <w:bookmarkEnd w:id="16"/>
    </w:p>
    <w:p w14:paraId="6CBA2206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829050"/>
            <wp:effectExtent l="0" t="0" r="0" b="0"/>
            <wp:docPr id="6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7b25951270e400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4400550"/>
            <wp:effectExtent l="0" t="0" r="0" b="0"/>
            <wp:docPr id="6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080de040104a6e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876675"/>
            <wp:effectExtent l="0" t="0" r="0" b="0"/>
            <wp:docPr id="6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e42b4d1ac14fb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a0"/>
        <w:ind w:firstLineChars="0" w:firstLine="0"/>
        <w:jc w:val="center"/>
        <w:rPr>
          <w:lang w:val="en-US"/>
        </w:rPr>
      </w:pPr>
    </w:p>
    <w:p w14:paraId="3BB83AD7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25B60AEC" w14:textId="77777777" w:rsidR="0000578F" w:rsidRDefault="0000578F" w:rsidP="00DC62E7">
      <w:pPr>
        <w:pStyle w:val="2"/>
      </w:pPr>
      <w:bookmarkStart w:id="18" w:name="_Toc452108761"/>
      <w:bookmarkStart w:id="19" w:name="_Toc38892131"/>
      <w:r>
        <w:rPr>
          <w:rFonts w:hint="eastAsia"/>
        </w:rPr>
        <w:t>三</w:t>
      </w:r>
      <w:r>
        <w:t>维视图</w:t>
      </w:r>
      <w:bookmarkEnd w:id="18"/>
      <w:bookmarkEnd w:id="19"/>
    </w:p>
    <w:p w14:paraId="53CDB7C8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16104867" w14:textId="77777777" w:rsidR="00E27B4C" w:rsidRPr="00180E79" w:rsidRDefault="00E27B4C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09B65B9B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33E50806" w14:textId="77777777"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38892132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7471A94A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4778774A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73853203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57DC9F04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45CD3518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6C7AAEFC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3997EE83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14A5DFE6" w14:textId="77777777" w:rsidR="0000578F" w:rsidRDefault="0000578F" w:rsidP="0000578F">
      <w:pPr>
        <w:pStyle w:val="1"/>
      </w:pPr>
      <w:bookmarkStart w:id="27" w:name="_Toc38892133"/>
      <w:r>
        <w:rPr>
          <w:rFonts w:hint="eastAsia"/>
        </w:rPr>
        <w:t>参考</w:t>
      </w:r>
      <w:r>
        <w:t>标准</w:t>
      </w:r>
      <w:bookmarkEnd w:id="24"/>
      <w:bookmarkEnd w:id="27"/>
    </w:p>
    <w:p w14:paraId="3A8B38E5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bookmarkStart w:id="30" w:name="_Toc451436145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0A1287D4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03F1934E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65ACCF28" w14:textId="77777777" w:rsidR="0000578F" w:rsidRDefault="0000578F" w:rsidP="0000578F">
      <w:pPr>
        <w:pStyle w:val="1"/>
      </w:pPr>
      <w:bookmarkStart w:id="31" w:name="_Toc38892134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319417BC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195F57D9" w14:textId="77777777" w:rsidR="00833AFE" w:rsidRDefault="00833AFE" w:rsidP="00833AFE">
      <w:pPr>
        <w:pStyle w:val="2"/>
      </w:pPr>
      <w:bookmarkStart w:id="32" w:name="_Toc38892135"/>
      <w:r>
        <w:rPr>
          <w:rFonts w:hint="eastAsia"/>
        </w:rPr>
        <w:t>参数定义</w:t>
      </w:r>
      <w:bookmarkEnd w:id="32"/>
    </w:p>
    <w:p w14:paraId="79B9DD6B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6A705DE9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bookmarkStart w:id="33" w:name="_Toc451698937"/>
      <w:bookmarkStart w:id="34" w:name="_Toc452108765"/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73CFA036" w14:textId="77777777" w:rsidR="002D33C1" w:rsidRDefault="002D33C1" w:rsidP="002D33C1">
      <w:pPr>
        <w:pStyle w:val="2"/>
      </w:pPr>
      <w:bookmarkStart w:id="35" w:name="_Toc38892136"/>
      <w:r>
        <w:rPr>
          <w:rFonts w:hint="eastAsia"/>
        </w:rPr>
        <w:t>计算流程</w:t>
      </w:r>
      <w:bookmarkEnd w:id="35"/>
    </w:p>
    <w:p w14:paraId="7F423F62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2B8697E7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657E31C9" w14:textId="77777777" w:rsidR="00035ECB" w:rsidRDefault="00035ECB" w:rsidP="00035ECB">
      <w:pPr>
        <w:pStyle w:val="ab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3548E70E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48D4C14D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2508902D" w14:textId="77777777" w:rsidR="00FC1BB9" w:rsidRDefault="00FC1BB9" w:rsidP="00304FC5">
      <w:pPr>
        <w:pStyle w:val="ae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drawing>
          <wp:inline distT="0" distB="0" distL="0" distR="0" wp14:anchorId="7330292E" wp14:editId="19A8CF03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8FC2B9" w14:textId="77777777" w:rsidR="00035ECB" w:rsidRPr="00180E79" w:rsidRDefault="00B13824" w:rsidP="00304FC5">
      <w:pPr>
        <w:pStyle w:val="ae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2A2E0BC6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4386793B" w14:textId="77777777" w:rsidR="00035ECB" w:rsidRDefault="00035ECB" w:rsidP="00D406D2">
      <w:pPr>
        <w:pStyle w:val="ae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18E59F28" w14:textId="77777777" w:rsidR="006B0CC7" w:rsidRPr="00180E79" w:rsidRDefault="006B0CC7" w:rsidP="006B0CC7">
      <w:pPr>
        <w:pStyle w:val="ae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7BB65791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C178963" w14:textId="77777777"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DFE7C38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6F067B4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FC74BDD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458BF852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D4A404D" w14:textId="77777777"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4918FBB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F43D6E5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897E07E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25C2449F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28CF51A5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347BDE2A" w14:textId="77777777" w:rsidR="000F57D4" w:rsidRPr="006043F1" w:rsidRDefault="000F57D4" w:rsidP="000F57D4">
      <w:pPr>
        <w:pStyle w:val="ab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0F06C614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11E9B86C" w14:textId="77777777" w:rsidR="00500A38" w:rsidRPr="00B50E2E" w:rsidRDefault="00500A38" w:rsidP="000F57D4">
      <w:pPr>
        <w:pStyle w:val="ab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4E54C1D4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6" w:name="_Hlk36153165"/>
      <w:r>
        <w:rPr>
          <w:rFonts w:hint="eastAsia"/>
          <w:szCs w:val="21"/>
        </w:rPr>
        <w:t>室内适应性舒适温度时间比例</w:t>
      </w:r>
      <w:bookmarkEnd w:id="36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249CBD81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2C1ECF63" w14:textId="77777777" w:rsidR="001B0BA1" w:rsidRDefault="006D296D" w:rsidP="00B50E2E">
      <w:pPr>
        <w:pStyle w:val="2"/>
      </w:pPr>
      <w:bookmarkStart w:id="37" w:name="_Toc38892137"/>
      <w:r>
        <w:rPr>
          <w:rFonts w:hint="eastAsia"/>
        </w:rPr>
        <w:t>计算参数</w:t>
      </w:r>
      <w:bookmarkEnd w:id="37"/>
    </w:p>
    <w:p w14:paraId="3506D46B" w14:textId="77777777" w:rsidR="006D296D" w:rsidRDefault="006043F1" w:rsidP="00EA3BB3">
      <w:pPr>
        <w:pStyle w:val="3"/>
      </w:pPr>
      <w:bookmarkStart w:id="38" w:name="_Toc38892138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8"/>
    </w:p>
    <w:p w14:paraId="620FE356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9" w:name="站台城市"/>
      <w:r w:rsidR="006D3413" w:rsidRPr="00E87AC0">
        <w:rPr>
          <w:rFonts w:ascii="Calibri" w:hAnsi="Calibri" w:hint="eastAsia"/>
          <w:kern w:val="2"/>
          <w:lang w:val="en-US"/>
        </w:rPr>
        <w:t xml:space="preserve">福州</w:t>
      </w:r>
      <w:bookmarkEnd w:id="39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16914B9D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40" w:name="月平均温度图"/>
      <w:r>
        <w:rPr>
          <w:rFonts w:ascii="Calibri" w:hAnsi="Calibri" w:hint="eastAsia"/>
          <w:b/>
          <w:kern w:val="2"/>
          <w:lang w:val="en-US"/>
        </w:rPr>
        <w:t xml:space="preserve"> </w:t>
      </w:r>
      <w:bookmarkEnd w:id="40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2905125"/>
            <wp:effectExtent l="0" t="0" r="0" b="0"/>
            <wp:docPr id="6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24aefd805c54a2c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5F0E72B1" w14:textId="77777777" w:rsidR="005D0A02" w:rsidRPr="00180E79" w:rsidRDefault="00B13824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4852D408" w14:textId="77777777" w:rsidR="00B665C1" w:rsidRDefault="00B665C1" w:rsidP="00EA3BB3">
      <w:pPr>
        <w:pStyle w:val="3"/>
      </w:pPr>
      <w:bookmarkStart w:id="41" w:name="_Toc38892139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41"/>
    </w:p>
    <w:p w14:paraId="2C9D07AE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7BA6080E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1F3C70B6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CBCA911" w14:textId="77777777" w:rsidR="0099773C" w:rsidRPr="00A412D8" w:rsidRDefault="0099773C" w:rsidP="00A412D8">
            <w:pPr>
              <w:jc w:val="center"/>
            </w:pPr>
            <w:bookmarkStart w:id="42" w:name="室内热舒适温度表"/>
            <w:r w:rsidRPr="00A412D8">
              <w:rPr>
                <w:rFonts w:hint="eastAsia"/>
              </w:rPr>
              <w:t>室外月平均温度</w:t>
            </w:r>
            <w:bookmarkEnd w:id="42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AEDECC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559F8228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2B8FFA06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D777240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11.4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7A66D252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17.8~24.8</w:t>
            </w:r>
          </w:p>
        </w:tc>
      </w:tr>
      <w:tr w:rsidR="0099773C" w:rsidRPr="00A412D8" w14:paraId="64AB6972" w14:textId="77777777" w:rsidTr="0099773C">
        <w:trPr>
          <w:trHeight w:val="270"/>
        </w:trPr>
        <w:tc>
          <w:tcPr>
            <w:tcW w:w="1861" w:type="dxa"/>
          </w:tcPr>
          <w:p w14:paraId="635127C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B70B33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D97693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17.9~24.9</w:t>
            </w:r>
          </w:p>
        </w:tc>
      </w:tr>
      <w:tr w:rsidR="0099773C" w:rsidRPr="00A412D8" w14:paraId="4CDDD09D" w14:textId="77777777" w:rsidTr="0099773C">
        <w:trPr>
          <w:trHeight w:val="270"/>
        </w:trPr>
        <w:tc>
          <w:tcPr>
            <w:tcW w:w="1861" w:type="dxa"/>
          </w:tcPr>
          <w:p w14:paraId="1EF922F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6BE39F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AC1837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 w:rsidR="0099773C" w:rsidRPr="00A412D8" w14:paraId="43250A68" w14:textId="77777777" w:rsidTr="0099773C">
        <w:trPr>
          <w:trHeight w:val="270"/>
        </w:trPr>
        <w:tc>
          <w:tcPr>
            <w:tcW w:w="1861" w:type="dxa"/>
          </w:tcPr>
          <w:p w14:paraId="7498E31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84CAAD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042F10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 w:rsidR="0099773C" w:rsidRPr="00A412D8" w14:paraId="0A594BBF" w14:textId="77777777" w:rsidTr="0099773C">
        <w:trPr>
          <w:trHeight w:val="270"/>
        </w:trPr>
        <w:tc>
          <w:tcPr>
            <w:tcW w:w="1861" w:type="dxa"/>
          </w:tcPr>
          <w:p w14:paraId="7F0D1D7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52FFE0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D30207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21.5~28.5</w:t>
            </w:r>
          </w:p>
        </w:tc>
      </w:tr>
      <w:tr w:rsidR="0099773C" w:rsidRPr="00A412D8" w14:paraId="689F6A4C" w14:textId="77777777" w:rsidTr="0099773C">
        <w:trPr>
          <w:trHeight w:val="270"/>
        </w:trPr>
        <w:tc>
          <w:tcPr>
            <w:tcW w:w="1861" w:type="dxa"/>
          </w:tcPr>
          <w:p w14:paraId="1EBB96C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D9554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4D4892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:rsidR="0099773C" w:rsidRPr="00A412D8" w14:paraId="6EE0EC88" w14:textId="77777777" w:rsidTr="0099773C">
        <w:trPr>
          <w:trHeight w:val="270"/>
        </w:trPr>
        <w:tc>
          <w:tcPr>
            <w:tcW w:w="1861" w:type="dxa"/>
          </w:tcPr>
          <w:p w14:paraId="46BDD57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BB38A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29.0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1D2610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23.3~30.3</w:t>
            </w:r>
          </w:p>
        </w:tc>
      </w:tr>
      <w:tr w:rsidR="0099773C" w:rsidRPr="00A412D8" w14:paraId="7143A161" w14:textId="77777777" w:rsidTr="0099773C">
        <w:trPr>
          <w:trHeight w:val="270"/>
        </w:trPr>
        <w:tc>
          <w:tcPr>
            <w:tcW w:w="1861" w:type="dxa"/>
          </w:tcPr>
          <w:p w14:paraId="45DF16F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7FE70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7CDE7D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:rsidR="0099773C" w:rsidRPr="00A412D8" w14:paraId="1717215C" w14:textId="77777777" w:rsidTr="0099773C">
        <w:trPr>
          <w:trHeight w:val="270"/>
        </w:trPr>
        <w:tc>
          <w:tcPr>
            <w:tcW w:w="1861" w:type="dxa"/>
          </w:tcPr>
          <w:p w14:paraId="4A92FF9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4655A7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F4D648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 w:rsidR="0099773C" w:rsidRPr="00A412D8" w14:paraId="79ECFB8A" w14:textId="77777777" w:rsidTr="0099773C">
        <w:trPr>
          <w:trHeight w:val="270"/>
        </w:trPr>
        <w:tc>
          <w:tcPr>
            <w:tcW w:w="1861" w:type="dxa"/>
          </w:tcPr>
          <w:p w14:paraId="6D67795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5A81F2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DBF2B4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21.4~28.4</w:t>
            </w:r>
          </w:p>
        </w:tc>
      </w:tr>
      <w:tr w:rsidR="0099773C" w:rsidRPr="00A412D8" w14:paraId="344A199C" w14:textId="77777777" w:rsidTr="0099773C">
        <w:trPr>
          <w:trHeight w:val="270"/>
        </w:trPr>
        <w:tc>
          <w:tcPr>
            <w:tcW w:w="1861" w:type="dxa"/>
          </w:tcPr>
          <w:p w14:paraId="137AE3C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C8132D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38945D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 w:rsidR="0099773C" w:rsidRPr="00A412D8" w14:paraId="00AAB702" w14:textId="77777777" w:rsidTr="0099773C">
        <w:trPr>
          <w:trHeight w:val="270"/>
        </w:trPr>
        <w:tc>
          <w:tcPr>
            <w:tcW w:w="1861" w:type="dxa"/>
          </w:tcPr>
          <w:p w14:paraId="19C545D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1556F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DB555D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</w:tbl>
    <w:p w14:paraId="303B670C" w14:textId="77777777" w:rsidR="009C72E6" w:rsidRDefault="009C72E6" w:rsidP="009C72E6">
      <w:pPr>
        <w:pStyle w:val="3"/>
      </w:pPr>
      <w:r>
        <w:rPr>
          <w:rFonts w:hint="eastAsia"/>
        </w:rPr>
        <w:t>参评时间</w:t>
      </w:r>
      <w:r>
        <w:t>段</w:t>
      </w:r>
    </w:p>
    <w:p w14:paraId="71ED0E59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 xml:space="preserve">1月1日至12月31日。</w:t>
      </w:r>
      <w:bookmarkEnd w:id="43"/>
    </w:p>
    <w:p w14:paraId="2E4C739E" w14:textId="77777777" w:rsidR="006043F1" w:rsidRPr="000B1793" w:rsidRDefault="006043F1" w:rsidP="00EA3BB3">
      <w:pPr>
        <w:pStyle w:val="3"/>
      </w:pPr>
      <w:bookmarkStart w:id="44" w:name="_Toc38892140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4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屋顶构造一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0.407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3.100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0.444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1.378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1.142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3.691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0.77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外墙构造一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1.977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2.941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热桥柱构造一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1.977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2.941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挑空楼板构造一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0.689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2.146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1.19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周边地面构造一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0.090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1.431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0.52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非周边地面构造一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0.090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1.431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0.30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控温房间隔墙构造一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1.897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控温房间楼板构造一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1.679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2.98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外门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1.97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内门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3.00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外窗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12A钢铝单框双玻窗（平均）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内窗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12A钢铝单框双玻窗（平均）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5FC3942" w14:textId="77777777" w:rsidR="006100FB" w:rsidRDefault="000B41B5" w:rsidP="00D406D2">
      <w:pPr>
        <w:ind w:firstLineChars="200" w:firstLine="420"/>
      </w:pPr>
      <w:bookmarkStart w:id="45" w:name="围护结构"/>
      <w:r>
        <w:rPr>
          <w:rFonts w:hint="eastAsia"/>
        </w:rPr>
        <w:t xml:space="preserve"> </w:t>
      </w:r>
      <w:bookmarkEnd w:id="45"/>
    </w:p>
    <w:p w14:paraId="782D700A" w14:textId="77777777" w:rsidR="00FB767C" w:rsidRPr="000B1793" w:rsidRDefault="00FB767C" w:rsidP="00FB767C">
      <w:pPr>
        <w:pStyle w:val="3"/>
      </w:pPr>
      <w:r>
        <w:rPr>
          <w:rFonts w:hint="eastAsia"/>
        </w:rPr>
        <w:t>房间类型参数</w:t>
      </w:r>
    </w:p>
    <w:tbl>
      <w:tblPr>
        <w:tblStyle w:val="TableGrid"/>
        <w:tblW w:w="10437.03964233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947.0399475097656"/>
        <w:gridCol w:w="1137.6599884033203"/>
        <w:gridCol w:w="1137.6599884033203"/>
        <w:gridCol w:w="1137.6599884033203"/>
        <w:gridCol w:w="1262.1799468994141"/>
        <w:gridCol w:w="1262.1799468994141"/>
        <w:gridCol w:w="1262.1799468994141"/>
        <w:gridCol w:w="1290.47988891601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冬季新风量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夏季新风量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人员密度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0.9~1.2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</w:tbl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工作日/节假日人员逐时在室率(%)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工作日/节假日照明开关时间表(%)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工作日/节假日设备逐时使用率(%)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14:paraId="02303263" w14:textId="77777777" w:rsidR="00250B66" w:rsidRPr="006C4E43" w:rsidRDefault="00FB767C" w:rsidP="008F52E4">
      <w:pPr>
        <w:pStyle w:val="a0"/>
        <w:ind w:firstLineChars="0" w:firstLine="0"/>
        <w:rPr>
          <w:b/>
          <w:lang w:val="en-US"/>
        </w:rPr>
      </w:pPr>
      <w:bookmarkStart w:id="46" w:name="房间类型"/>
      <w:bookmarkEnd w:id="46"/>
    </w:p>
    <w:p w14:paraId="0E09B218" w14:textId="77777777" w:rsidR="008E2A42" w:rsidRDefault="008E2A42" w:rsidP="008E2A42">
      <w:pPr>
        <w:pStyle w:val="1"/>
        <w:tabs>
          <w:tab w:val="left" w:pos="432"/>
        </w:tabs>
      </w:pPr>
      <w:bookmarkStart w:id="47" w:name="_Toc452108768"/>
      <w:bookmarkStart w:id="48" w:name="_Toc3745"/>
      <w:bookmarkStart w:id="49" w:name="_Toc38892141"/>
      <w:r>
        <w:rPr>
          <w:rFonts w:hint="eastAsia"/>
        </w:rPr>
        <w:t>结果</w:t>
      </w:r>
      <w:r>
        <w:t>分析</w:t>
      </w:r>
      <w:bookmarkEnd w:id="47"/>
      <w:bookmarkEnd w:id="48"/>
      <w:bookmarkEnd w:id="49"/>
    </w:p>
    <w:p w14:paraId="25020A0E" w14:textId="77777777" w:rsidR="00026604" w:rsidRPr="00C92C56" w:rsidRDefault="008E2A42" w:rsidP="00C92C56">
      <w:pPr>
        <w:pStyle w:val="2"/>
      </w:pPr>
      <w:bookmarkStart w:id="50" w:name="_Toc38892142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1" w:name="_Hlk14199391"/>
      <w:bookmarkEnd w:id="50"/>
    </w:p>
    <w:tbl>
      <w:tblPr>
        <w:tblStyle w:val="TableGrid"/>
        <w:tblW w:w="10301.1994934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90.52001953125"/>
        <w:gridCol w:w="1992.3199462890625"/>
        <w:gridCol w:w="3186.5798950195312"/>
        <w:gridCol w:w="1075.3999328613281"/>
        <w:gridCol w:w="3356.3796997070312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层号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1002</w:t>
            </w:r>
          </w:p>
        </w:tc>
        <w:tc>
          <w:tcPr>
            <w:vAlign w:val="center"/>
          </w:tcPr>
          <w:p>
            <w:pPr/>
            <w:r>
              <w:t>展览室</w:t>
            </w:r>
          </w:p>
        </w:tc>
        <w:tc>
          <w:tcPr>
            <w:vAlign w:val="center"/>
          </w:tcPr>
          <w:p>
            <w:pPr/>
            <w:r>
              <w:t>56.8</w:t>
            </w:r>
          </w:p>
        </w:tc>
        <w:tc>
          <w:tcPr>
            <w:vAlign w:val="center"/>
          </w:tcPr>
          <w:p>
            <w:pPr/>
            <w:r>
              <w:t>77.96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1003</w:t>
            </w:r>
          </w:p>
        </w:tc>
        <w:tc>
          <w:tcPr>
            <w:vAlign w:val="center"/>
          </w:tcPr>
          <w:p>
            <w:pPr/>
            <w:r>
              <w:t>茶室</w:t>
            </w:r>
          </w:p>
        </w:tc>
        <w:tc>
          <w:tcPr>
            <w:vAlign w:val="center"/>
          </w:tcPr>
          <w:p>
            <w:pPr/>
            <w:r>
              <w:t>92.1</w:t>
            </w:r>
          </w:p>
        </w:tc>
        <w:tc>
          <w:tcPr>
            <w:vAlign w:val="center"/>
          </w:tcPr>
          <w:p>
            <w:pPr/>
            <w:r>
              <w:t>81.07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1005</w:t>
            </w:r>
          </w:p>
        </w:tc>
        <w:tc>
          <w:tcPr>
            <w:vAlign w:val="center"/>
          </w:tcPr>
          <w:p>
            <w:pPr/>
            <w:r>
              <w:t>库房</w:t>
            </w:r>
          </w:p>
        </w:tc>
        <w:tc>
          <w:tcPr>
            <w:vAlign w:val="center"/>
          </w:tcPr>
          <w:p>
            <w:pPr/>
            <w:r>
              <w:t>5.2</w:t>
            </w:r>
          </w:p>
        </w:tc>
        <w:tc>
          <w:tcPr>
            <w:vAlign w:val="center"/>
          </w:tcPr>
          <w:p>
            <w:pPr/>
            <w:r>
              <w:t>76.24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1007</w:t>
            </w:r>
          </w:p>
        </w:tc>
        <w:tc>
          <w:tcPr>
            <w:vAlign w:val="center"/>
          </w:tcPr>
          <w:p>
            <w:pPr/>
            <w:r>
              <w:t>儿童活动空间</w:t>
            </w:r>
          </w:p>
        </w:tc>
        <w:tc>
          <w:tcPr>
            <w:vAlign w:val="center"/>
          </w:tcPr>
          <w:p>
            <w:pPr/>
            <w:r>
              <w:t>18.9</w:t>
            </w:r>
          </w:p>
        </w:tc>
        <w:tc>
          <w:tcPr>
            <w:vAlign w:val="center"/>
          </w:tcPr>
          <w:p>
            <w:pPr/>
            <w:r>
              <w:t>73.29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1009</w:t>
            </w:r>
          </w:p>
        </w:tc>
        <w:tc>
          <w:tcPr>
            <w:vAlign w:val="center"/>
          </w:tcPr>
          <w:p>
            <w:pPr/>
            <w:r>
              <w:t>休憩空间</w:t>
            </w:r>
          </w:p>
        </w:tc>
        <w:tc>
          <w:tcPr>
            <w:vAlign w:val="center"/>
          </w:tcPr>
          <w:p>
            <w:pPr/>
            <w:r>
              <w:t>8.5</w:t>
            </w:r>
          </w:p>
        </w:tc>
        <w:tc>
          <w:tcPr>
            <w:vAlign w:val="center"/>
          </w:tcPr>
          <w:p>
            <w:pPr/>
            <w:r>
              <w:t>80.42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1010</w:t>
            </w:r>
          </w:p>
        </w:tc>
        <w:tc>
          <w:tcPr>
            <w:vAlign w:val="center"/>
          </w:tcPr>
          <w:p>
            <w:pPr/>
            <w:r>
              <w:t>展览室</w:t>
            </w:r>
          </w:p>
        </w:tc>
        <w:tc>
          <w:tcPr>
            <w:vAlign w:val="center"/>
          </w:tcPr>
          <w:p>
            <w:pPr/>
            <w:r>
              <w:t>56.6</w:t>
            </w:r>
          </w:p>
        </w:tc>
        <w:tc>
          <w:tcPr>
            <w:vAlign w:val="center"/>
          </w:tcPr>
          <w:p>
            <w:pPr/>
            <w:r>
              <w:t>83.85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1011</w:t>
            </w:r>
          </w:p>
        </w:tc>
        <w:tc>
          <w:tcPr>
            <w:vAlign w:val="center"/>
          </w:tcPr>
          <w:p>
            <w:pPr/>
            <w:r>
              <w:t>展览室</w:t>
            </w:r>
          </w:p>
        </w:tc>
        <w:tc>
          <w:tcPr>
            <w:vAlign w:val="center"/>
          </w:tcPr>
          <w:p>
            <w:pPr/>
            <w:r>
              <w:t>67.5</w:t>
            </w:r>
          </w:p>
        </w:tc>
        <w:tc>
          <w:tcPr>
            <w:vAlign w:val="center"/>
          </w:tcPr>
          <w:p>
            <w:pPr/>
            <w:r>
              <w:t>83.46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1012</w:t>
            </w:r>
          </w:p>
        </w:tc>
        <w:tc>
          <w:tcPr>
            <w:vAlign w:val="center"/>
          </w:tcPr>
          <w:p>
            <w:pPr/>
            <w:r>
              <w:t>储藏室</w:t>
            </w:r>
          </w:p>
        </w:tc>
        <w:tc>
          <w:tcPr>
            <w:vAlign w:val="center"/>
          </w:tcPr>
          <w:p>
            <w:pPr/>
            <w:r>
              <w:t>24.3</w:t>
            </w:r>
          </w:p>
        </w:tc>
        <w:tc>
          <w:tcPr>
            <w:vAlign w:val="center"/>
          </w:tcPr>
          <w:p>
            <w:pPr/>
            <w:r>
              <w:t>82.31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2003</w:t>
            </w:r>
          </w:p>
        </w:tc>
        <w:tc>
          <w:tcPr>
            <w:vAlign w:val="center"/>
          </w:tcPr>
          <w:p>
            <w:pPr/>
            <w:r>
              <w:t>室外廊道</w:t>
            </w:r>
          </w:p>
        </w:tc>
        <w:tc>
          <w:tcPr>
            <w:vAlign w:val="center"/>
          </w:tcPr>
          <w:p>
            <w:pPr/>
            <w:r>
              <w:t>12.3</w:t>
            </w:r>
          </w:p>
        </w:tc>
        <w:tc>
          <w:tcPr>
            <w:vAlign w:val="center"/>
          </w:tcPr>
          <w:p>
            <w:pPr/>
            <w:r>
              <w:t>83.89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建筑满足热舒适区间的时间达标比例(%)</w:t>
            </w:r>
          </w:p>
        </w:tc>
        <w:tc>
          <w:tcPr>
            <w:vAlign w:val="center"/>
          </w:tcPr>
          <w:p>
            <w:pPr/>
            <w:r>
              <w:t>81.15%</w:t>
            </w:r>
          </w:p>
        </w:tc>
      </w:tr>
    </w:tbl>
    <w:p w14:paraId="5A488291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2" w:name="达标比例统计表"/>
      <w:bookmarkEnd w:id="51"/>
      <w:bookmarkEnd w:id="52"/>
    </w:p>
    <w:p w14:paraId="2AC5D975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03341CBF" w14:textId="77777777" w:rsidR="008E2A42" w:rsidRPr="00E14B7E" w:rsidRDefault="00A968A5" w:rsidP="00A968A5">
      <w:pPr>
        <w:pStyle w:val="1"/>
        <w:tabs>
          <w:tab w:val="left" w:pos="432"/>
        </w:tabs>
      </w:pPr>
      <w:bookmarkStart w:id="53" w:name="_Toc38892143"/>
      <w:r w:rsidRPr="00E14B7E">
        <w:rPr>
          <w:rFonts w:hint="eastAsia"/>
        </w:rPr>
        <w:t>结论</w:t>
      </w:r>
      <w:bookmarkEnd w:id="53"/>
    </w:p>
    <w:p w14:paraId="013F8A8E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4" w:name="达标百分比"/>
      <w:r w:rsidR="00481D85" w:rsidRPr="00E14B7E">
        <w:rPr>
          <w:rFonts w:hint="eastAsia"/>
          <w:lang w:val="en-US"/>
        </w:rPr>
        <w:t>81.15%</w:t>
      </w:r>
      <w:bookmarkEnd w:id="54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5" w:name="得分"/>
      <w:r w:rsidR="006006D2" w:rsidRPr="00E14B7E">
        <w:rPr>
          <w:rFonts w:hint="eastAsia"/>
          <w:lang w:val="en-US"/>
        </w:rPr>
        <w:t>7</w:t>
      </w:r>
      <w:bookmarkEnd w:id="55"/>
      <w:r w:rsidR="005B277A" w:rsidRPr="00E14B7E">
        <w:rPr>
          <w:rFonts w:hint="eastAsia"/>
          <w:lang w:val="en-US"/>
        </w:rPr>
        <w:t>分。</w:t>
      </w:r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AF166" w14:textId="77777777" w:rsidR="00D650B1" w:rsidRDefault="00D650B1" w:rsidP="00203A7D">
      <w:pPr>
        <w:spacing w:line="240" w:lineRule="auto"/>
      </w:pPr>
      <w:r>
        <w:separator/>
      </w:r>
    </w:p>
  </w:endnote>
  <w:endnote w:type="continuationSeparator" w:id="0">
    <w:p w14:paraId="22D19F1B" w14:textId="77777777" w:rsidR="00D650B1" w:rsidRDefault="00D650B1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4E5D5617" w14:textId="77777777" w:rsidTr="001A12A0">
      <w:tc>
        <w:tcPr>
          <w:tcW w:w="3020" w:type="dxa"/>
        </w:tcPr>
        <w:p w14:paraId="2F465221" w14:textId="77777777" w:rsidR="001A12A0" w:rsidRPr="00F5023B" w:rsidRDefault="00D650B1" w:rsidP="001D3BB9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37C99082" w14:textId="77777777" w:rsidR="001A12A0" w:rsidRPr="00F5023B" w:rsidRDefault="00D650B1" w:rsidP="001D3BB9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4AB9A0DF" w14:textId="77777777" w:rsidR="001A12A0" w:rsidRPr="00F5023B" w:rsidRDefault="006D5734" w:rsidP="006D5734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6DBC8A58" w14:textId="77777777" w:rsidR="001A12A0" w:rsidRDefault="001A12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ECBEA" w14:textId="77777777" w:rsidR="001A12A0" w:rsidRPr="001D3BB9" w:rsidRDefault="001A12A0">
    <w:pPr>
      <w:pStyle w:val="a5"/>
      <w:jc w:val="center"/>
      <w:rPr>
        <w:rFonts w:asciiTheme="minorEastAsia" w:eastAsiaTheme="minorEastAsia" w:hAnsiTheme="minorEastAsia"/>
        <w:szCs w:val="21"/>
      </w:rPr>
    </w:pPr>
  </w:p>
  <w:p w14:paraId="0CA19F10" w14:textId="77777777" w:rsidR="001A12A0" w:rsidRDefault="001A12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F9E01" w14:textId="77777777" w:rsidR="00D650B1" w:rsidRDefault="00D650B1" w:rsidP="00203A7D">
      <w:pPr>
        <w:spacing w:line="240" w:lineRule="auto"/>
      </w:pPr>
      <w:r>
        <w:separator/>
      </w:r>
    </w:p>
  </w:footnote>
  <w:footnote w:type="continuationSeparator" w:id="0">
    <w:p w14:paraId="2E94F336" w14:textId="77777777" w:rsidR="00D650B1" w:rsidRDefault="00D650B1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29285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30F4F7A4" wp14:editId="40CD22B9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png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word/media/826293bb-675c-4e02-b560-ad791eb48ea8.png" Id="R31ea524defb44e0b" /><Relationship Type="http://schemas.openxmlformats.org/officeDocument/2006/relationships/image" Target="/word/media/d68dd0a0-6e5e-4f57-9f5b-6322866a2912.png" Id="Ra24aefd805c54a2c" /><Relationship Type="http://schemas.openxmlformats.org/officeDocument/2006/relationships/image" Target="/word/media/50fe7597-f614-4433-a555-98b2dce6c364.jpg" Id="R47b25951270e4002" /><Relationship Type="http://schemas.openxmlformats.org/officeDocument/2006/relationships/image" Target="/word/media/d68a6411-d96c-4f9f-87fc-4b397f0acbdf.jpg" Id="R38080de040104a6e" /><Relationship Type="http://schemas.openxmlformats.org/officeDocument/2006/relationships/image" Target="/word/media/0deab44c-d713-4c6d-83cc-b139ab89edfe.jpg" Id="R3ee42b4d1ac14fb4" 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室内舒适温度达标比例报告书.dotx</Template>
  <TotalTime>33</TotalTime>
  <Pages>9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3171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wbw</dc:creator>
  <cp:lastModifiedBy>sxh</cp:lastModifiedBy>
  <cp:revision>5</cp:revision>
  <cp:lastPrinted>1900-12-31T16:00:00Z</cp:lastPrinted>
  <dcterms:created xsi:type="dcterms:W3CDTF">2020-07-28T03:10:00Z</dcterms:created>
  <dcterms:modified xsi:type="dcterms:W3CDTF">2020-08-21T03:51:00Z</dcterms:modified>
</cp:coreProperties>
</file>