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DD97" w14:textId="77777777" w:rsidR="005456E8" w:rsidRDefault="005456E8" w:rsidP="005456E8">
      <w:pPr>
        <w:pStyle w:val="1"/>
        <w:jc w:val="center"/>
      </w:pPr>
    </w:p>
    <w:p w14:paraId="1EF4D348" w14:textId="77777777" w:rsidR="005456E8" w:rsidRDefault="005456E8" w:rsidP="005456E8">
      <w:pPr>
        <w:pStyle w:val="1"/>
        <w:jc w:val="center"/>
      </w:pPr>
    </w:p>
    <w:p w14:paraId="315A3A83" w14:textId="77777777" w:rsidR="005456E8" w:rsidRDefault="005456E8" w:rsidP="005456E8">
      <w:pPr>
        <w:pStyle w:val="1"/>
        <w:jc w:val="center"/>
      </w:pPr>
    </w:p>
    <w:p w14:paraId="6D8386C2" w14:textId="77777777" w:rsidR="005456E8" w:rsidRDefault="005456E8" w:rsidP="005456E8">
      <w:pPr>
        <w:pStyle w:val="1"/>
        <w:jc w:val="center"/>
      </w:pPr>
    </w:p>
    <w:p w14:paraId="69D5B224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461FFE0C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5461EC92" w14:textId="77777777" w:rsidR="005456E8" w:rsidRDefault="005456E8" w:rsidP="005456E8">
      <w:pPr>
        <w:pStyle w:val="2"/>
      </w:pPr>
    </w:p>
    <w:p w14:paraId="4BBD918D" w14:textId="68098A19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 w:rsidR="006B23D8">
        <w:rPr>
          <w:rFonts w:hint="eastAsia"/>
          <w:b w:val="0"/>
          <w:u w:val="single"/>
        </w:rPr>
        <w:t>留云·聚风·山水居</w:t>
      </w:r>
      <w:r>
        <w:rPr>
          <w:b w:val="0"/>
          <w:u w:val="single"/>
        </w:rPr>
        <w:t xml:space="preserve">      </w:t>
      </w:r>
    </w:p>
    <w:p w14:paraId="4285B95F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1F25419D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7352DE2D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D2262C0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51BD3F61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334A1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D8B1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17E679F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35402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EB292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6A936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1A650C54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E21AF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30BFC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A3DE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6F98052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96A45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B95C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1E4DB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0559FC3D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0B62D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DAD34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72A9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682E5CBE" w14:textId="77777777" w:rsidR="005456E8" w:rsidRDefault="005456E8" w:rsidP="005456E8">
      <w:pPr>
        <w:ind w:firstLine="405"/>
      </w:pPr>
    </w:p>
    <w:p w14:paraId="55A8C1C9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461F10EA" w14:textId="6965FB46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6B23D8">
        <w:rPr>
          <w:u w:val="single"/>
        </w:rPr>
        <w:t>2800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6B23D8">
        <w:rPr>
          <w:u w:val="single"/>
        </w:rPr>
        <w:t>1527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，总人数</w:t>
      </w:r>
      <w:r>
        <w:rPr>
          <w:rFonts w:hint="eastAsia"/>
          <w:u w:val="single"/>
        </w:rPr>
        <w:t xml:space="preserve"> </w:t>
      </w:r>
      <w:r w:rsidR="006B23D8">
        <w:rPr>
          <w:u w:val="single"/>
        </w:rPr>
        <w:t>20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6B23D8">
        <w:rPr>
          <w:u w:val="single"/>
        </w:rPr>
        <w:t>42.86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30D8B321" w14:textId="77777777" w:rsidR="005456E8" w:rsidRDefault="005456E8" w:rsidP="005456E8">
      <w:r>
        <w:rPr>
          <w:rFonts w:hint="eastAsia"/>
        </w:rPr>
        <w:t>.</w:t>
      </w:r>
    </w:p>
    <w:p w14:paraId="045CD5D4" w14:textId="77777777" w:rsidR="005456E8" w:rsidRDefault="005456E8" w:rsidP="005456E8"/>
    <w:p w14:paraId="7883DB83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758924F3" w14:textId="77B90AC0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6B23D8">
        <w:t>1200</w:t>
      </w:r>
      <w:r>
        <w:rPr>
          <w:rFonts w:hint="eastAsia"/>
        </w:rPr>
        <w:t>㎡</w:t>
      </w:r>
      <w:r>
        <w:t>。</w:t>
      </w:r>
    </w:p>
    <w:p w14:paraId="295B81EE" w14:textId="77777777" w:rsidR="005456E8" w:rsidRDefault="005456E8" w:rsidP="005456E8"/>
    <w:p w14:paraId="3694407B" w14:textId="60A07554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6B23D8">
        <w:t>1200</w:t>
      </w:r>
      <w:r>
        <w:t xml:space="preserve">/ </w:t>
      </w:r>
      <w:r w:rsidR="006B23D8">
        <w:t>20</w:t>
      </w:r>
      <w:r>
        <w:t xml:space="preserve"> =</w:t>
      </w:r>
      <w:r w:rsidR="006B23D8">
        <w:t>60</w:t>
      </w:r>
    </w:p>
    <w:p w14:paraId="707A9149" w14:textId="77777777" w:rsidR="00FD5F26" w:rsidRDefault="00FD5F26" w:rsidP="005456E8">
      <w:pPr>
        <w:ind w:firstLine="420"/>
      </w:pPr>
    </w:p>
    <w:p w14:paraId="29249F39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7CFD115D" w14:textId="2682A747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6B23D8">
        <w:rPr>
          <w:rFonts w:ascii="Arial Narrow" w:eastAsia="宋体" w:hAnsi="Arial Narrow" w:cs="宋体"/>
          <w:kern w:val="0"/>
          <w:szCs w:val="21"/>
        </w:rPr>
        <w:t>60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F926" w14:textId="77777777" w:rsidR="00547818" w:rsidRDefault="00547818" w:rsidP="005456E8">
      <w:r>
        <w:separator/>
      </w:r>
    </w:p>
  </w:endnote>
  <w:endnote w:type="continuationSeparator" w:id="0">
    <w:p w14:paraId="0C877D05" w14:textId="77777777" w:rsidR="00547818" w:rsidRDefault="00547818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215A" w14:textId="77777777" w:rsidR="00547818" w:rsidRDefault="00547818" w:rsidP="005456E8">
      <w:r>
        <w:separator/>
      </w:r>
    </w:p>
  </w:footnote>
  <w:footnote w:type="continuationSeparator" w:id="0">
    <w:p w14:paraId="424A453E" w14:textId="77777777" w:rsidR="00547818" w:rsidRDefault="00547818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547818"/>
    <w:rsid w:val="006B23D8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7C1A0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宋 佳</cp:lastModifiedBy>
  <cp:revision>3</cp:revision>
  <dcterms:created xsi:type="dcterms:W3CDTF">2020-01-10T08:20:00Z</dcterms:created>
  <dcterms:modified xsi:type="dcterms:W3CDTF">2022-03-04T12:43:00Z</dcterms:modified>
</cp:coreProperties>
</file>