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r>
              <w:t>绿色营建·诗意栖居</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bookmarkStart w:id="55" w:name="_GoBack"/>
      <w:bookmarkEnd w:id="55"/>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T17865812869</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_Toc27068 </w:instrText>
      </w:r>
      <w:r>
        <w:rPr>
          <w:rFonts w:ascii="宋体" w:hAnsi="宋体"/>
          <w:caps/>
        </w:rPr>
        <w:fldChar w:fldCharType="separate"/>
      </w:r>
      <w:r>
        <w:rPr>
          <w:rFonts w:hint="eastAsia" w:ascii="Times New Roman" w:hAnsi="Times New Roman"/>
          <w:szCs w:val="28"/>
        </w:rPr>
        <w:t>1</w:t>
      </w:r>
      <w:r>
        <w:rPr>
          <w:rFonts w:ascii="Times New Roman" w:hAnsi="Times New Roman"/>
          <w:szCs w:val="28"/>
        </w:rPr>
        <w:t>.</w:t>
      </w:r>
      <w:r>
        <w:rPr>
          <w:rFonts w:hint="eastAsia" w:ascii="Times New Roman" w:hAnsi="Times New Roman"/>
          <w:szCs w:val="28"/>
        </w:rPr>
        <w:t>项目概况</w:t>
      </w:r>
      <w:r>
        <w:tab/>
      </w:r>
      <w:r>
        <w:fldChar w:fldCharType="begin"/>
      </w:r>
      <w:r>
        <w:instrText xml:space="preserve"> PAGEREF _Toc27068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_Toc16112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_Toc16112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_Toc30790 </w:instrText>
      </w:r>
      <w:r>
        <w:fldChar w:fldCharType="separate"/>
      </w:r>
      <w:r>
        <w:rPr>
          <w:rFonts w:hint="eastAsia"/>
          <w:szCs w:val="24"/>
        </w:rPr>
        <w:t>2.1评价</w:t>
      </w:r>
      <w:r>
        <w:rPr>
          <w:szCs w:val="24"/>
        </w:rPr>
        <w:t>依据</w:t>
      </w:r>
      <w:r>
        <w:tab/>
      </w:r>
      <w:r>
        <w:fldChar w:fldCharType="begin"/>
      </w:r>
      <w:r>
        <w:instrText xml:space="preserve"> PAGEREF _Toc30790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_Toc24990 </w:instrText>
      </w:r>
      <w:r>
        <w:fldChar w:fldCharType="separate"/>
      </w:r>
      <w:r>
        <w:rPr>
          <w:rFonts w:hint="eastAsia"/>
          <w:szCs w:val="24"/>
        </w:rPr>
        <w:t>2.2标准</w:t>
      </w:r>
      <w:r>
        <w:rPr>
          <w:szCs w:val="24"/>
        </w:rPr>
        <w:t>要求</w:t>
      </w:r>
      <w:r>
        <w:tab/>
      </w:r>
      <w:r>
        <w:fldChar w:fldCharType="begin"/>
      </w:r>
      <w:r>
        <w:instrText xml:space="preserve"> PAGEREF _Toc24990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_Toc25852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_Toc25852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_Toc24162 </w:instrText>
      </w:r>
      <w:r>
        <w:fldChar w:fldCharType="separate"/>
      </w:r>
      <w:r>
        <w:rPr>
          <w:rFonts w:hint="eastAsia"/>
          <w:szCs w:val="24"/>
        </w:rPr>
        <w:t>3.1模拟软件</w:t>
      </w:r>
      <w:r>
        <w:tab/>
      </w:r>
      <w:r>
        <w:fldChar w:fldCharType="begin"/>
      </w:r>
      <w:r>
        <w:instrText xml:space="preserve"> PAGEREF _Toc24162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_Toc25242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_Toc25242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_Toc21477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_Toc21477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_Toc22687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_Toc22687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_Toc2385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_Toc2385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_Toc8330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_Toc8330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_Toc27941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_Toc27941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_Toc26097 </w:instrText>
      </w:r>
      <w:r>
        <w:fldChar w:fldCharType="separate"/>
      </w:r>
      <w:r>
        <w:rPr>
          <w:rFonts w:hint="eastAsia" w:ascii="Times New Roman" w:hAnsi="Times New Roman"/>
          <w:szCs w:val="28"/>
        </w:rPr>
        <w:t>5.结论</w:t>
      </w:r>
      <w:r>
        <w:tab/>
      </w:r>
      <w:r>
        <w:fldChar w:fldCharType="begin"/>
      </w:r>
      <w:r>
        <w:instrText xml:space="preserve"> PAGEREF _Toc26097 \h </w:instrText>
      </w:r>
      <w:r>
        <w:fldChar w:fldCharType="separate"/>
      </w:r>
      <w:r>
        <w:t>12</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27068"/>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室内分析单体DT</w:t>
            </w:r>
          </w:p>
        </w:tc>
        <w:tc>
          <w:tcPr>
            <w:vAlign w:val="center"/>
          </w:tcPr>
          <w:p>
            <w:pPr>
              <w:jc w:val="center"/>
            </w:pPr>
            <w:r>
              <w:rPr>
                <w:b/>
              </w:rPr>
              <w:t>96.00</w:t>
            </w:r>
          </w:p>
        </w:tc>
        <w:tc>
          <w:tcPr>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16112"/>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30790"/>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24990"/>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25852"/>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24162"/>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25242"/>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533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667375" cy="35337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479326725"/>
      <w:bookmarkStart w:id="28" w:name="_Toc21477"/>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立面网格间距：10×10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取建筑物全部立面网格点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22687"/>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世纪大道</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30</w:t>
            </w:r>
          </w:p>
        </w:tc>
        <w:tc>
          <w:tcPr>
            <w:vAlign w:val="center"/>
          </w:tcPr>
          <w:p>
            <w:pPr>
              <w:jc w:val="center"/>
            </w:pPr>
            <w:r>
              <w:t>300</w:t>
            </w:r>
          </w:p>
        </w:tc>
        <w:tc>
          <w:tcPr>
            <w:vAlign w:val="center"/>
          </w:tcPr>
          <w:p>
            <w:pPr>
              <w:jc w:val="center"/>
            </w:pPr>
            <w:r>
              <w:t>61</w:t>
            </w:r>
          </w:p>
        </w:tc>
        <w:tc>
          <w:tcPr>
            <w:vAlign w:val="center"/>
          </w:tcPr>
          <w:p>
            <w:pPr>
              <w:jc w:val="center"/>
            </w:pPr>
            <w:r>
              <w:t>35</w:t>
            </w:r>
          </w:p>
        </w:tc>
        <w:tc>
          <w:tcPr>
            <w:vAlign w:val="center"/>
          </w:tcPr>
          <w:p>
            <w:pPr>
              <w:jc w:val="center"/>
            </w:pPr>
            <w:r>
              <w:t>59</w:t>
            </w:r>
          </w:p>
        </w:tc>
        <w:tc>
          <w:tcPr>
            <w:vAlign w:val="center"/>
          </w:tcPr>
          <w:p>
            <w:pPr>
              <w:jc w:val="center"/>
            </w:pPr>
            <w:r>
              <w:t>0</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80</w:t>
            </w:r>
          </w:p>
        </w:tc>
        <w:tc>
          <w:tcPr>
            <w:vAlign w:val="center"/>
          </w:tcPr>
          <w:p>
            <w:pPr>
              <w:jc w:val="center"/>
            </w:pPr>
            <w:r>
              <w:t>61</w:t>
            </w:r>
          </w:p>
        </w:tc>
        <w:tc>
          <w:tcPr>
            <w:vAlign w:val="center"/>
          </w:tcPr>
          <w:p>
            <w:pPr>
              <w:jc w:val="center"/>
            </w:pPr>
            <w:r>
              <w:t>10</w:t>
            </w:r>
          </w:p>
        </w:tc>
        <w:tc>
          <w:tcPr>
            <w:vAlign w:val="center"/>
          </w:tcPr>
          <w:p>
            <w:pPr>
              <w:jc w:val="center"/>
            </w:pPr>
            <w:r>
              <w:t>59</w:t>
            </w:r>
          </w:p>
        </w:tc>
        <w:tc>
          <w:tcPr>
            <w:vAlign w:val="center"/>
          </w:tcPr>
          <w:p>
            <w:pPr>
              <w:jc w:val="center"/>
            </w:pPr>
            <w:r>
              <w:t>0</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凤凰路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450</w:t>
            </w:r>
          </w:p>
        </w:tc>
        <w:tc>
          <w:tcPr>
            <w:vAlign w:val="center"/>
          </w:tcPr>
          <w:p>
            <w:pPr>
              <w:jc w:val="center"/>
            </w:pPr>
            <w:r>
              <w:t>72</w:t>
            </w:r>
          </w:p>
        </w:tc>
        <w:tc>
          <w:tcPr>
            <w:vAlign w:val="center"/>
          </w:tcPr>
          <w:p>
            <w:pPr>
              <w:jc w:val="center"/>
            </w:pPr>
            <w:r>
              <w:t>50</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100</w:t>
            </w:r>
          </w:p>
        </w:tc>
        <w:tc>
          <w:tcPr>
            <w:vAlign w:val="center"/>
          </w:tcPr>
          <w:p>
            <w:pPr>
              <w:jc w:val="center"/>
            </w:pPr>
            <w:r>
              <w:t>66</w:t>
            </w:r>
          </w:p>
        </w:tc>
        <w:tc>
          <w:tcPr>
            <w:vAlign w:val="center"/>
          </w:tcPr>
          <w:p>
            <w:pPr>
              <w:jc w:val="center"/>
            </w:pPr>
            <w:r>
              <w:t>20</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天辰路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30</w:t>
            </w:r>
          </w:p>
        </w:tc>
        <w:tc>
          <w:tcPr>
            <w:vAlign w:val="center"/>
          </w:tcPr>
          <w:p>
            <w:pPr>
              <w:jc w:val="center"/>
            </w:pPr>
            <w:r>
              <w:t>200</w:t>
            </w:r>
          </w:p>
        </w:tc>
        <w:tc>
          <w:tcPr>
            <w:vAlign w:val="center"/>
          </w:tcPr>
          <w:p>
            <w:pPr>
              <w:jc w:val="center"/>
            </w:pPr>
            <w:r>
              <w:t>61</w:t>
            </w:r>
          </w:p>
        </w:tc>
        <w:tc>
          <w:tcPr>
            <w:vAlign w:val="center"/>
          </w:tcPr>
          <w:p>
            <w:pPr>
              <w:jc w:val="center"/>
            </w:pPr>
            <w:r>
              <w:t>20</w:t>
            </w:r>
          </w:p>
        </w:tc>
        <w:tc>
          <w:tcPr>
            <w:vAlign w:val="center"/>
          </w:tcPr>
          <w:p>
            <w:pPr>
              <w:jc w:val="center"/>
            </w:pPr>
            <w:r>
              <w:t>59</w:t>
            </w:r>
          </w:p>
        </w:tc>
        <w:tc>
          <w:tcPr>
            <w:vAlign w:val="center"/>
          </w:tcPr>
          <w:p>
            <w:pPr>
              <w:jc w:val="center"/>
            </w:pPr>
            <w:r>
              <w:t>0</w:t>
            </w:r>
          </w:p>
        </w:tc>
        <w:tc>
          <w:tcPr>
            <w:vAlign w:val="center"/>
          </w:tcPr>
          <w:p>
            <w:pPr>
              <w:jc w:val="center"/>
            </w:pPr>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40</w:t>
            </w:r>
          </w:p>
        </w:tc>
        <w:tc>
          <w:tcPr>
            <w:vAlign w:val="center"/>
          </w:tcPr>
          <w:p>
            <w:pPr>
              <w:jc w:val="center"/>
            </w:pPr>
            <w:r>
              <w:t>61</w:t>
            </w:r>
          </w:p>
        </w:tc>
        <w:tc>
          <w:tcPr>
            <w:vAlign w:val="center"/>
          </w:tcPr>
          <w:p>
            <w:pPr>
              <w:jc w:val="center"/>
            </w:pPr>
            <w:r>
              <w:t>8</w:t>
            </w:r>
          </w:p>
        </w:tc>
        <w:tc>
          <w:tcPr>
            <w:vAlign w:val="center"/>
          </w:tcPr>
          <w:p>
            <w:pPr>
              <w:jc w:val="center"/>
            </w:pPr>
            <w:r>
              <w:t>59</w:t>
            </w:r>
          </w:p>
        </w:tc>
        <w:tc>
          <w:tcPr>
            <w:vAlign w:val="center"/>
          </w:tcPr>
          <w:p>
            <w:pPr>
              <w:jc w:val="center"/>
            </w:pPr>
            <w:r>
              <w:t>0</w:t>
            </w:r>
          </w:p>
        </w:tc>
        <w:tc>
          <w:tcPr>
            <w:vAlign w:val="center"/>
          </w:tcPr>
          <w:p>
            <w:pPr>
              <w:jc w:val="center"/>
            </w:pPr>
            <w:r>
              <w:t>67</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2385"/>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833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2794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24574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24574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24574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4"/>
                    <a:stretch>
                      <a:fillRect/>
                    </a:stretch>
                  </pic:blipFill>
                  <pic:spPr>
                    <a:xfrm>
                      <a:off x="0" y="0"/>
                      <a:ext cx="5667375" cy="24574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5667375" cy="2343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6"/>
                    <a:stretch>
                      <a:fillRect/>
                    </a:stretch>
                  </pic:blipFill>
                  <pic:spPr>
                    <a:xfrm>
                      <a:off x="0" y="0"/>
                      <a:ext cx="5667375" cy="2343150"/>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r>
        <w:drawing>
          <wp:inline distT="0" distB="0" distL="0" distR="0">
            <wp:extent cx="5667375" cy="2343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7"/>
                    <a:stretch>
                      <a:fillRect/>
                    </a:stretch>
                  </pic:blipFill>
                  <pic:spPr>
                    <a:xfrm>
                      <a:off x="0" y="0"/>
                      <a:ext cx="5667375" cy="23431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pPr>
            <w:r>
              <w:rPr>
                <w:b/>
              </w:rPr>
              <w:t>立面网格点</w:t>
            </w:r>
            <w:r>
              <w:rPr>
                <w:b/>
              </w:rPr>
              <w:br w:type="textWrapping"/>
            </w:r>
            <w:r>
              <w:rPr>
                <w:b/>
              </w:rPr>
              <w:t>噪声最大值</w:t>
            </w:r>
          </w:p>
        </w:tc>
        <w:tc>
          <w:tcPr>
            <w:shd w:val="clear" w:color="auto" w:fill="E6E6E6"/>
            <w:vAlign w:val="center"/>
          </w:tcPr>
          <w:p>
            <w:pPr>
              <w:jc w:val="center"/>
            </w:pPr>
            <w:r>
              <w:rPr>
                <w:b/>
              </w:rPr>
              <w:t>2类</w:t>
            </w:r>
            <w:r>
              <w:rPr>
                <w:b/>
              </w:rPr>
              <w:br w:type="textWrapping"/>
            </w:r>
            <w:r>
              <w:rPr>
                <w:b/>
              </w:rPr>
              <w:t>噪声限值</w:t>
            </w:r>
          </w:p>
        </w:tc>
        <w:tc>
          <w:tcPr>
            <w:shd w:val="clear" w:color="auto" w:fill="E6E6E6"/>
            <w:vAlign w:val="center"/>
          </w:tcPr>
          <w:p>
            <w:pPr>
              <w:jc w:val="center"/>
            </w:pPr>
            <w:r>
              <w:rPr>
                <w:b/>
              </w:rPr>
              <w:t>3类</w:t>
            </w:r>
            <w:r>
              <w:rPr>
                <w:b/>
              </w:rPr>
              <w:br w:type="textWrapping"/>
            </w:r>
            <w:r>
              <w:rPr>
                <w:b/>
              </w:rPr>
              <w:t>噪声限值</w:t>
            </w:r>
          </w:p>
        </w:tc>
        <w:tc>
          <w:tcPr>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室内分析单体DT</w:t>
            </w:r>
          </w:p>
        </w:tc>
        <w:tc>
          <w:tcPr>
            <w:vAlign w:val="center"/>
          </w:tcPr>
          <w:p>
            <w:pPr>
              <w:jc w:val="center"/>
            </w:pPr>
            <w:r>
              <w:rPr>
                <w:b/>
              </w:rPr>
              <w:t>昼间</w:t>
            </w:r>
          </w:p>
        </w:tc>
        <w:tc>
          <w:tcPr>
            <w:vAlign w:val="center"/>
          </w:tcPr>
          <w:p>
            <w:pPr>
              <w:jc w:val="center"/>
            </w:pPr>
            <w:r>
              <w:t>46</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39</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479326730"/>
      <w:bookmarkStart w:id="49" w:name="_Toc26097"/>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46</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39</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A906D8"/>
    <w:rsid w:val="00AB5A74"/>
    <w:rsid w:val="00F071AE"/>
    <w:rsid w:val="085F5F68"/>
    <w:rsid w:val="0FC229B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qFormat/>
    <w:uiPriority w:val="99"/>
    <w:rPr>
      <w:sz w:val="18"/>
      <w:szCs w:val="18"/>
    </w:rPr>
  </w:style>
  <w:style w:type="character" w:customStyle="1" w:styleId="23">
    <w:name w:val="标题 1 Char"/>
    <w:link w:val="2"/>
    <w:uiPriority w:val="9"/>
    <w:rPr>
      <w:rFonts w:ascii="微软雅黑" w:hAnsi="微软雅黑" w:eastAsia="微软雅黑" w:cs="微软雅黑"/>
      <w:b/>
      <w:bCs/>
      <w:kern w:val="44"/>
      <w:sz w:val="44"/>
      <w:szCs w:val="44"/>
    </w:rPr>
  </w:style>
  <w:style w:type="character" w:customStyle="1" w:styleId="24">
    <w:name w:val="标题 2 Char"/>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qFormat/>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Company>北京绿建软件有限公司</Company>
  <Pages>6</Pages>
  <Words>595</Words>
  <Characters>3395</Characters>
  <Lines>28</Lines>
  <Paragraphs>7</Paragraphs>
  <TotalTime>0</TotalTime>
  <ScaleCrop>false</ScaleCrop>
  <LinksUpToDate>false</LinksUpToDate>
  <CharactersWithSpaces>3983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王丽</cp:lastModifiedBy>
  <cp:lastPrinted>2016-08-03T02:42:00Z</cp:lastPrinted>
  <dcterms:modified xsi:type="dcterms:W3CDTF">2021-12-31T02:21:48Z</dcterms:modified>
  <dc:title>12.30精确版声环境模型_recover000_recover室外噪声分析报告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56873D48358B40EBA26213E3E94477B4</vt:lpwstr>
  </property>
</Properties>
</file>