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0020"/>
      <w:bookmarkStart w:id="47" w:name="_GoBack"/>
      <w:r>
        <w:rPr>
          <w:rFonts w:hint="eastAsia"/>
        </w:rPr>
        <w:t>住区概况</w:t>
      </w:r>
      <w:bookmarkEnd w:id="0"/>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 w:name="工程名称1"/>
            <w:r>
              <w:rPr>
                <w:rFonts w:hint="eastAsia" w:ascii="宋体" w:hAnsi="宋体"/>
              </w:rPr>
              <w:t>铜化.弘宇领玺</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2" w:name="工程地点"/>
            <w:r>
              <w:t>铜陵</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3" w:name="纬度"/>
            <w:r>
              <w:t>30.93</w:t>
            </w:r>
            <w:bookmarkEnd w:id="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4" w:name="经度"/>
            <w:r>
              <w:t>117.80</w:t>
            </w:r>
            <w:bookmarkEnd w:id="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5" w:name="气候区"/>
            <w:r>
              <w:t>IIIB</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6" w:name="主导风向"/>
            <w:r>
              <w:t>南</w:t>
            </w:r>
            <w:bookmarkEnd w:id="6"/>
          </w:p>
        </w:tc>
      </w:tr>
    </w:tbl>
    <w:p>
      <w:pPr>
        <w:pStyle w:val="3"/>
        <w:ind w:firstLine="420"/>
        <w:rPr>
          <w:lang w:val="en-US"/>
        </w:rPr>
      </w:pPr>
    </w:p>
    <w:p>
      <w:pPr>
        <w:pStyle w:val="3"/>
        <w:ind w:firstLine="420"/>
        <w:jc w:val="center"/>
        <w:rPr>
          <w:lang w:val="en-US"/>
        </w:rPr>
      </w:pPr>
      <w:bookmarkStart w:id="7" w:name="总图鸟瞰图"/>
      <w:bookmarkEnd w:id="7"/>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6"/>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8" w:name="OLE_LINK4"/>
      <w:bookmarkStart w:id="9" w:name="OLE_LINK3"/>
      <w:r>
        <w:rPr>
          <w:rFonts w:hint="eastAsia" w:ascii="宋体" w:hAnsi="宋体"/>
        </w:rPr>
        <w:t>图</w:t>
      </w:r>
      <w:r>
        <w:rPr>
          <w:rFonts w:ascii="宋体" w:hAnsi="宋体"/>
        </w:rPr>
        <w:t>1</w:t>
      </w:r>
      <w:r>
        <w:rPr>
          <w:rFonts w:hint="eastAsia" w:ascii="宋体" w:hAnsi="宋体"/>
        </w:rPr>
        <w:t>.1 场地鸟瞰图</w:t>
      </w:r>
      <w:bookmarkEnd w:id="8"/>
      <w:bookmarkEnd w:id="9"/>
    </w:p>
    <w:p>
      <w:pPr>
        <w:pStyle w:val="3"/>
        <w:ind w:firstLine="420"/>
        <w:rPr>
          <w:lang w:val="en-US"/>
        </w:rPr>
      </w:pPr>
    </w:p>
    <w:p>
      <w:pPr>
        <w:pStyle w:val="3"/>
        <w:ind w:firstLine="420"/>
        <w:jc w:val="center"/>
        <w:rPr>
          <w:lang w:val="en-US"/>
        </w:rPr>
      </w:pPr>
      <w:bookmarkStart w:id="10" w:name="总图平面图"/>
      <w:bookmarkEnd w:id="10"/>
      <w:r>
        <w:drawing>
          <wp:inline distT="0" distB="0" distL="0" distR="0">
            <wp:extent cx="4657725" cy="42576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7"/>
                    <a:stretch>
                      <a:fillRect/>
                    </a:stretch>
                  </pic:blipFill>
                  <pic:spPr>
                    <a:xfrm>
                      <a:off x="0" y="0"/>
                      <a:ext cx="4658214" cy="4258122"/>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11" w:name="_Toc13683"/>
      <w:bookmarkStart w:id="12" w:name="TitleFormat"/>
      <w:r>
        <w:rPr>
          <w:rFonts w:hint="eastAsia"/>
        </w:rPr>
        <w:t>设计依据</w:t>
      </w:r>
      <w:bookmarkEnd w:id="11"/>
    </w:p>
    <w:bookmarkEnd w:id="12"/>
    <w:p>
      <w:pPr>
        <w:widowControl w:val="0"/>
        <w:jc w:val="both"/>
        <w:rPr>
          <w:kern w:val="2"/>
          <w:szCs w:val="24"/>
          <w:lang w:val="en-US"/>
        </w:rPr>
      </w:pPr>
      <w:bookmarkStart w:id="13" w:name="计算依据"/>
      <w:bookmarkEnd w:id="13"/>
      <w:r>
        <w:rPr>
          <w:rFonts w:hint="eastAsia"/>
          <w:kern w:val="2"/>
          <w:szCs w:val="24"/>
          <w:lang w:val="en-US"/>
        </w:rPr>
        <w:t>《城市居住区热环境设计标准》（JGJ 286-2013）</w:t>
      </w:r>
    </w:p>
    <w:p>
      <w:pPr>
        <w:pStyle w:val="2"/>
      </w:pPr>
      <w:bookmarkStart w:id="14" w:name="_Toc30173"/>
      <w:r>
        <w:rPr>
          <w:rFonts w:hint="eastAsia"/>
        </w:rPr>
        <w:t>计算规定</w:t>
      </w:r>
      <w:bookmarkEnd w:id="14"/>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15" w:name="_Toc15756"/>
      <w:r>
        <w:rPr>
          <w:rFonts w:hint="eastAsia"/>
        </w:rPr>
        <w:t>强制条文</w:t>
      </w:r>
      <w:bookmarkEnd w:id="15"/>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16" w:name="_Toc10982"/>
      <w:r>
        <w:rPr>
          <w:rFonts w:hint="eastAsia"/>
        </w:rPr>
        <w:t>规定性设计</w:t>
      </w:r>
      <w:bookmarkEnd w:id="16"/>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blPrEx>
          <w:tblCellMar>
            <w:top w:w="0" w:type="dxa"/>
            <w:left w:w="0" w:type="dxa"/>
            <w:bottom w:w="0" w:type="dxa"/>
            <w:right w:w="0" w:type="dxa"/>
          </w:tblCellMar>
        </w:tblPrEx>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14:textFill>
                  <w14:solidFill>
                    <w14:schemeClr w14:val="tx1"/>
                  </w14:solidFill>
                </w14:textFill>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17" w:name="_Toc14360"/>
      <w:r>
        <w:rPr>
          <w:rFonts w:hint="eastAsia"/>
        </w:rPr>
        <w:t>评价性设计</w:t>
      </w:r>
      <w:bookmarkEnd w:id="17"/>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18" w:name="_Toc26999"/>
      <w:r>
        <w:rPr>
          <w:rFonts w:hint="eastAsia"/>
        </w:rPr>
        <w:t>计算参数</w:t>
      </w:r>
      <w:bookmarkEnd w:id="18"/>
    </w:p>
    <w:p>
      <w:pPr>
        <w:pStyle w:val="4"/>
      </w:pPr>
      <w:bookmarkStart w:id="19" w:name="_Toc107"/>
      <w:r>
        <w:rPr>
          <w:rFonts w:hint="eastAsia"/>
        </w:rPr>
        <w:t>典型气象日气象参数</w:t>
      </w:r>
      <w:bookmarkEnd w:id="1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26.6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26.2</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25.9</w:t>
            </w:r>
          </w:p>
        </w:tc>
        <w:tc>
          <w:tcPr>
            <w:vAlign w:val="center"/>
          </w:tcPr>
          <w:p>
            <w:pPr>
              <w:jc w:val="center"/>
            </w:pPr>
            <w:r>
              <w:t>92</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25.7</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25.6</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25.7</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26.0</w:t>
            </w:r>
          </w:p>
        </w:tc>
        <w:tc>
          <w:tcPr>
            <w:vAlign w:val="center"/>
          </w:tcPr>
          <w:p>
            <w:pPr>
              <w:jc w:val="center"/>
            </w:pPr>
            <w:r>
              <w:t>86</w:t>
            </w:r>
          </w:p>
        </w:tc>
        <w:tc>
          <w:tcPr>
            <w:vAlign w:val="center"/>
          </w:tcPr>
          <w:p>
            <w:pPr>
              <w:jc w:val="center"/>
            </w:pPr>
            <w:r>
              <w:t>100.00</w:t>
            </w:r>
          </w:p>
        </w:tc>
        <w:tc>
          <w:tcPr>
            <w:vAlign w:val="center"/>
          </w:tcPr>
          <w:p>
            <w:pPr>
              <w:jc w:val="center"/>
            </w:pPr>
            <w:r>
              <w:t>66.67</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26.6</w:t>
            </w:r>
          </w:p>
        </w:tc>
        <w:tc>
          <w:tcPr>
            <w:vAlign w:val="center"/>
          </w:tcPr>
          <w:p>
            <w:pPr>
              <w:jc w:val="center"/>
            </w:pPr>
            <w:r>
              <w:t>83</w:t>
            </w:r>
          </w:p>
        </w:tc>
        <w:tc>
          <w:tcPr>
            <w:vAlign w:val="center"/>
          </w:tcPr>
          <w:p>
            <w:pPr>
              <w:jc w:val="center"/>
            </w:pPr>
            <w:r>
              <w:t>222.22</w:t>
            </w:r>
          </w:p>
        </w:tc>
        <w:tc>
          <w:tcPr>
            <w:vAlign w:val="center"/>
          </w:tcPr>
          <w:p>
            <w:pPr>
              <w:jc w:val="center"/>
            </w:pPr>
            <w:r>
              <w:t>127.78</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27.4</w:t>
            </w:r>
          </w:p>
        </w:tc>
        <w:tc>
          <w:tcPr>
            <w:vAlign w:val="center"/>
          </w:tcPr>
          <w:p>
            <w:pPr>
              <w:jc w:val="center"/>
            </w:pPr>
            <w:r>
              <w:t>79</w:t>
            </w:r>
          </w:p>
        </w:tc>
        <w:tc>
          <w:tcPr>
            <w:vAlign w:val="center"/>
          </w:tcPr>
          <w:p>
            <w:pPr>
              <w:jc w:val="center"/>
            </w:pPr>
            <w:r>
              <w:t>352.78</w:t>
            </w:r>
          </w:p>
        </w:tc>
        <w:tc>
          <w:tcPr>
            <w:vAlign w:val="center"/>
          </w:tcPr>
          <w:p>
            <w:pPr>
              <w:jc w:val="center"/>
            </w:pPr>
            <w:r>
              <w:t>183.33</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28.3</w:t>
            </w:r>
          </w:p>
        </w:tc>
        <w:tc>
          <w:tcPr>
            <w:vAlign w:val="center"/>
          </w:tcPr>
          <w:p>
            <w:pPr>
              <w:jc w:val="center"/>
            </w:pPr>
            <w:r>
              <w:t>75</w:t>
            </w:r>
          </w:p>
        </w:tc>
        <w:tc>
          <w:tcPr>
            <w:vAlign w:val="center"/>
          </w:tcPr>
          <w:p>
            <w:pPr>
              <w:jc w:val="center"/>
            </w:pPr>
            <w:r>
              <w:t>477.78</w:t>
            </w:r>
          </w:p>
        </w:tc>
        <w:tc>
          <w:tcPr>
            <w:vAlign w:val="center"/>
          </w:tcPr>
          <w:p>
            <w:pPr>
              <w:jc w:val="center"/>
            </w:pPr>
            <w:r>
              <w:t>230.56</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29.2</w:t>
            </w:r>
          </w:p>
        </w:tc>
        <w:tc>
          <w:tcPr>
            <w:vAlign w:val="center"/>
          </w:tcPr>
          <w:p>
            <w:pPr>
              <w:jc w:val="center"/>
            </w:pPr>
            <w:r>
              <w:t>71</w:t>
            </w:r>
          </w:p>
        </w:tc>
        <w:tc>
          <w:tcPr>
            <w:vAlign w:val="center"/>
          </w:tcPr>
          <w:p>
            <w:pPr>
              <w:jc w:val="center"/>
            </w:pPr>
            <w:r>
              <w:t>580.56</w:t>
            </w:r>
          </w:p>
        </w:tc>
        <w:tc>
          <w:tcPr>
            <w:vAlign w:val="center"/>
          </w:tcPr>
          <w:p>
            <w:pPr>
              <w:jc w:val="center"/>
            </w:pPr>
            <w:r>
              <w:t>266.67</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30.1</w:t>
            </w:r>
          </w:p>
        </w:tc>
        <w:tc>
          <w:tcPr>
            <w:vAlign w:val="center"/>
          </w:tcPr>
          <w:p>
            <w:pPr>
              <w:jc w:val="center"/>
            </w:pPr>
            <w:r>
              <w:t>68</w:t>
            </w:r>
          </w:p>
        </w:tc>
        <w:tc>
          <w:tcPr>
            <w:vAlign w:val="center"/>
          </w:tcPr>
          <w:p>
            <w:pPr>
              <w:jc w:val="center"/>
            </w:pPr>
            <w:r>
              <w:t>644.44</w:t>
            </w:r>
          </w:p>
        </w:tc>
        <w:tc>
          <w:tcPr>
            <w:vAlign w:val="center"/>
          </w:tcPr>
          <w:p>
            <w:pPr>
              <w:jc w:val="center"/>
            </w:pPr>
            <w:r>
              <w:t>286.11</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30.8</w:t>
            </w:r>
          </w:p>
        </w:tc>
        <w:tc>
          <w:tcPr>
            <w:vAlign w:val="center"/>
          </w:tcPr>
          <w:p>
            <w:pPr>
              <w:jc w:val="center"/>
            </w:pPr>
            <w:r>
              <w:t>65</w:t>
            </w:r>
          </w:p>
        </w:tc>
        <w:tc>
          <w:tcPr>
            <w:vAlign w:val="center"/>
          </w:tcPr>
          <w:p>
            <w:pPr>
              <w:jc w:val="center"/>
            </w:pPr>
            <w:r>
              <w:t>658.33</w:t>
            </w:r>
          </w:p>
        </w:tc>
        <w:tc>
          <w:tcPr>
            <w:vAlign w:val="center"/>
          </w:tcPr>
          <w:p>
            <w:pPr>
              <w:jc w:val="center"/>
            </w:pPr>
            <w:r>
              <w:t>291.67</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31.1</w:t>
            </w:r>
          </w:p>
        </w:tc>
        <w:tc>
          <w:tcPr>
            <w:vAlign w:val="center"/>
          </w:tcPr>
          <w:p>
            <w:pPr>
              <w:jc w:val="center"/>
            </w:pPr>
            <w:r>
              <w:t>64</w:t>
            </w:r>
          </w:p>
        </w:tc>
        <w:tc>
          <w:tcPr>
            <w:vAlign w:val="center"/>
          </w:tcPr>
          <w:p>
            <w:pPr>
              <w:jc w:val="center"/>
            </w:pPr>
            <w:r>
              <w:t>622.22</w:t>
            </w:r>
          </w:p>
        </w:tc>
        <w:tc>
          <w:tcPr>
            <w:vAlign w:val="center"/>
          </w:tcPr>
          <w:p>
            <w:pPr>
              <w:jc w:val="center"/>
            </w:pPr>
            <w:r>
              <w:t>280.56</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31.0</w:t>
            </w:r>
          </w:p>
        </w:tc>
        <w:tc>
          <w:tcPr>
            <w:vAlign w:val="center"/>
          </w:tcPr>
          <w:p>
            <w:pPr>
              <w:jc w:val="center"/>
            </w:pPr>
            <w:r>
              <w:t>64</w:t>
            </w:r>
          </w:p>
        </w:tc>
        <w:tc>
          <w:tcPr>
            <w:vAlign w:val="center"/>
          </w:tcPr>
          <w:p>
            <w:pPr>
              <w:jc w:val="center"/>
            </w:pPr>
            <w:r>
              <w:t>541.67</w:t>
            </w:r>
          </w:p>
        </w:tc>
        <w:tc>
          <w:tcPr>
            <w:vAlign w:val="center"/>
          </w:tcPr>
          <w:p>
            <w:pPr>
              <w:jc w:val="center"/>
            </w:pPr>
            <w:r>
              <w:t>252.78</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30.7</w:t>
            </w:r>
          </w:p>
        </w:tc>
        <w:tc>
          <w:tcPr>
            <w:vAlign w:val="center"/>
          </w:tcPr>
          <w:p>
            <w:pPr>
              <w:jc w:val="center"/>
            </w:pPr>
            <w:r>
              <w:t>66</w:t>
            </w:r>
          </w:p>
        </w:tc>
        <w:tc>
          <w:tcPr>
            <w:vAlign w:val="center"/>
          </w:tcPr>
          <w:p>
            <w:pPr>
              <w:jc w:val="center"/>
            </w:pPr>
            <w:r>
              <w:t>427.78</w:t>
            </w:r>
          </w:p>
        </w:tc>
        <w:tc>
          <w:tcPr>
            <w:vAlign w:val="center"/>
          </w:tcPr>
          <w:p>
            <w:pPr>
              <w:jc w:val="center"/>
            </w:pPr>
            <w:r>
              <w:t>211.11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30.1</w:t>
            </w:r>
          </w:p>
        </w:tc>
        <w:tc>
          <w:tcPr>
            <w:vAlign w:val="center"/>
          </w:tcPr>
          <w:p>
            <w:pPr>
              <w:jc w:val="center"/>
            </w:pPr>
            <w:r>
              <w:t>68</w:t>
            </w:r>
          </w:p>
        </w:tc>
        <w:tc>
          <w:tcPr>
            <w:vAlign w:val="center"/>
          </w:tcPr>
          <w:p>
            <w:pPr>
              <w:jc w:val="center"/>
            </w:pPr>
            <w:r>
              <w:t>300.00</w:t>
            </w:r>
          </w:p>
        </w:tc>
        <w:tc>
          <w:tcPr>
            <w:vAlign w:val="center"/>
          </w:tcPr>
          <w:p>
            <w:pPr>
              <w:jc w:val="center"/>
            </w:pPr>
            <w:r>
              <w:t>161.11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29.4</w:t>
            </w:r>
          </w:p>
        </w:tc>
        <w:tc>
          <w:tcPr>
            <w:vAlign w:val="center"/>
          </w:tcPr>
          <w:p>
            <w:pPr>
              <w:jc w:val="center"/>
            </w:pPr>
            <w:r>
              <w:t>72</w:t>
            </w:r>
          </w:p>
        </w:tc>
        <w:tc>
          <w:tcPr>
            <w:vAlign w:val="center"/>
          </w:tcPr>
          <w:p>
            <w:pPr>
              <w:jc w:val="center"/>
            </w:pPr>
            <w:r>
              <w:t>169.44</w:t>
            </w:r>
          </w:p>
        </w:tc>
        <w:tc>
          <w:tcPr>
            <w:vAlign w:val="center"/>
          </w:tcPr>
          <w:p>
            <w:pPr>
              <w:jc w:val="center"/>
            </w:pPr>
            <w:r>
              <w:t>100.00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28.7</w:t>
            </w:r>
          </w:p>
        </w:tc>
        <w:tc>
          <w:tcPr>
            <w:vAlign w:val="center"/>
          </w:tcPr>
          <w:p>
            <w:pPr>
              <w:jc w:val="center"/>
            </w:pPr>
            <w:r>
              <w:t>75</w:t>
            </w:r>
          </w:p>
        </w:tc>
        <w:tc>
          <w:tcPr>
            <w:vAlign w:val="center"/>
          </w:tcPr>
          <w:p>
            <w:pPr>
              <w:jc w:val="center"/>
            </w:pPr>
            <w:r>
              <w:t>55.56</w:t>
            </w:r>
          </w:p>
        </w:tc>
        <w:tc>
          <w:tcPr>
            <w:vAlign w:val="center"/>
          </w:tcPr>
          <w:p>
            <w:pPr>
              <w:jc w:val="center"/>
            </w:pPr>
            <w:r>
              <w:t>36.11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28.1</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27.7</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27.5</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27.4</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27.4</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28.1</w:t>
            </w:r>
          </w:p>
        </w:tc>
        <w:tc>
          <w:tcPr>
            <w:vAlign w:val="center"/>
          </w:tcPr>
          <w:p>
            <w:pPr>
              <w:jc w:val="center"/>
            </w:pPr>
            <w:r>
              <w:t>79</w:t>
            </w:r>
          </w:p>
        </w:tc>
        <w:tc>
          <w:tcPr>
            <w:vAlign w:val="center"/>
          </w:tcPr>
          <w:p>
            <w:pPr>
              <w:jc w:val="center"/>
            </w:pPr>
            <w:r>
              <w:t>214.70</w:t>
            </w:r>
          </w:p>
        </w:tc>
        <w:tc>
          <w:tcPr>
            <w:vAlign w:val="center"/>
          </w:tcPr>
          <w:p>
            <w:pPr>
              <w:jc w:val="center"/>
            </w:pPr>
            <w:r>
              <w:t>103.94</w:t>
            </w:r>
          </w:p>
        </w:tc>
        <w:tc>
          <w:tcPr>
            <w:vAlign w:val="center"/>
          </w:tcPr>
          <w:p>
            <w:pPr>
              <w:jc w:val="center"/>
            </w:pPr>
            <w:r>
              <w:t>4.3</w:t>
            </w:r>
          </w:p>
        </w:tc>
        <w:tc>
          <w:tcPr>
            <w:vMerge w:val="continue"/>
            <w:vAlign w:val="center"/>
          </w:tcPr>
          <w:p>
            <w:pPr>
              <w:jc w:val="center"/>
            </w:pPr>
          </w:p>
        </w:tc>
      </w:tr>
    </w:tbl>
    <w:p>
      <w:pPr>
        <w:pStyle w:val="4"/>
      </w:pPr>
      <w:bookmarkStart w:id="20" w:name="气象参数"/>
      <w:bookmarkEnd w:id="20"/>
      <w:bookmarkStart w:id="21" w:name="_Toc22665"/>
      <w:r>
        <w:rPr>
          <w:rFonts w:hint="eastAsia"/>
        </w:rPr>
        <w:t>渗透面夏季逐时蒸发量</w:t>
      </w:r>
      <w:bookmarkEnd w:id="2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2"/>
      </w:pPr>
      <w:bookmarkStart w:id="22" w:name="蒸发量参数"/>
      <w:bookmarkEnd w:id="22"/>
      <w:bookmarkStart w:id="23" w:name="_Toc24240"/>
      <w:r>
        <w:rPr>
          <w:rFonts w:hint="eastAsia"/>
        </w:rPr>
        <w:t>住区指标概览</w:t>
      </w:r>
      <w:bookmarkEnd w:id="2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44994.99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pPr>
              <w:rPr>
                <w:rFonts w:hint="default" w:eastAsia="宋体"/>
                <w:lang w:val="en-US" w:eastAsia="zh-CN"/>
              </w:rPr>
            </w:pPr>
            <w:r>
              <w:t>0.2</w:t>
            </w:r>
            <w:r>
              <w:rPr>
                <w:rFonts w:hint="eastAsia"/>
                <w:lang w:val="en-US" w:eastAsia="zh-CN"/>
              </w:rP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35075.19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04" w:hRule="atLeast"/>
        </w:trPr>
        <w:tc>
          <w:tcPr>
            <w:shd w:val="clear" w:color="auto" w:fill="E6E6E6"/>
            <w:vAlign w:val="center"/>
          </w:tcPr>
          <w:p>
            <w:r>
              <w:t>道路面积(㎡)</w:t>
            </w:r>
          </w:p>
        </w:tc>
        <w:tc>
          <w:tcPr>
            <w:vAlign w:val="center"/>
          </w:tcPr>
          <w:p>
            <w:r>
              <w:t>2458.77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pPr>
              <w:rPr>
                <w:rFonts w:hint="default" w:eastAsia="宋体"/>
                <w:lang w:val="en-US" w:eastAsia="zh-CN"/>
              </w:rPr>
            </w:pPr>
            <w:r>
              <w:rPr>
                <w:rFonts w:hint="eastAsia"/>
                <w:lang w:val="en-US" w:eastAsia="zh-CN"/>
              </w:rPr>
              <w:t>15793.24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2612.31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rPr>
                <w:color w:val="FF0000"/>
              </w:rPr>
              <w:t>0.93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11.61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2"/>
      </w:pPr>
      <w:bookmarkStart w:id="24" w:name="住区指标概览"/>
      <w:bookmarkEnd w:id="24"/>
      <w:bookmarkStart w:id="25" w:name="_Toc12392"/>
      <w:r>
        <w:rPr>
          <w:rFonts w:hint="eastAsia"/>
        </w:rPr>
        <w:t>规定性设计指标</w:t>
      </w:r>
      <w:bookmarkEnd w:id="25"/>
    </w:p>
    <w:p>
      <w:pPr>
        <w:pStyle w:val="4"/>
      </w:pPr>
      <w:bookmarkStart w:id="26" w:name="_Toc8099"/>
      <w:r>
        <w:rPr>
          <w:rFonts w:hint="eastAsia"/>
        </w:rPr>
        <w:t>平均迎风面积比</w:t>
      </w:r>
      <w:bookmarkEnd w:id="2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936.34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1756.71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0.53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1853.18</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2881.69</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0.64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981.13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1736.56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110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0.56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989.97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1004.48</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0.99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2267.2</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2304.68</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0.98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1393.85</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1403.83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100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0.99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673.44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702.51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0.96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673.44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702.51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0.96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735.57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870.2</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0.85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332.64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390.17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0.85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2116.06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2945.2</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0.72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616.77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806.71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130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0.76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657.36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869.93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0.76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510.84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516.83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0.99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962.28</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1105.39</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0.87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配电房</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150.96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164.53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0.92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color w:val="auto"/>
              </w:rPr>
            </w:pPr>
            <w:r>
              <w:rPr>
                <w:color w:val="auto"/>
              </w:rPr>
              <w:t>平均迎风面积比</w:t>
            </w:r>
          </w:p>
        </w:tc>
        <w:tc>
          <w:tcPr>
            <w:gridSpan w:val="4"/>
            <w:vAlign w:val="center"/>
          </w:tcPr>
          <w:p>
            <w:pPr>
              <w:rPr>
                <w:rFonts w:hint="default" w:eastAsia="宋体"/>
                <w:color w:val="auto"/>
                <w:lang w:val="en-US" w:eastAsia="zh-CN"/>
              </w:rPr>
            </w:pPr>
            <w:r>
              <w:rPr>
                <w:b/>
                <w:color w:val="auto"/>
              </w:rPr>
              <w:t>0.</w:t>
            </w:r>
            <w:r>
              <w:rPr>
                <w:rFonts w:hint="eastAsia"/>
                <w:b/>
                <w:color w:val="auto"/>
                <w:lang w:val="en-US" w:eastAsia="zh-CN"/>
              </w:rP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color w:val="auto"/>
              </w:rPr>
            </w:pPr>
            <w:r>
              <w:rPr>
                <w:color w:val="auto"/>
              </w:rPr>
              <w:t>依据</w:t>
            </w:r>
          </w:p>
        </w:tc>
        <w:tc>
          <w:tcPr>
            <w:gridSpan w:val="4"/>
            <w:vAlign w:val="center"/>
          </w:tcPr>
          <w:p>
            <w:pPr>
              <w:rPr>
                <w:color w:val="auto"/>
              </w:rPr>
            </w:pPr>
            <w:r>
              <w:rPr>
                <w:b/>
                <w:color w:val="auto"/>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color w:val="auto"/>
              </w:rPr>
            </w:pPr>
            <w:r>
              <w:rPr>
                <w:color w:val="auto"/>
              </w:rPr>
              <w:t>标准要求</w:t>
            </w:r>
          </w:p>
        </w:tc>
        <w:tc>
          <w:tcPr>
            <w:gridSpan w:val="4"/>
            <w:vAlign w:val="center"/>
          </w:tcPr>
          <w:p>
            <w:pPr>
              <w:rPr>
                <w:color w:val="auto"/>
              </w:rPr>
            </w:pPr>
            <w:r>
              <w:rPr>
                <w:b/>
                <w:color w:val="auto"/>
              </w:rPr>
              <w:t>平均迎风面积比≤0.80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color w:val="auto"/>
              </w:rPr>
            </w:pPr>
            <w:r>
              <w:rPr>
                <w:color w:val="auto"/>
              </w:rPr>
              <w:t>结论</w:t>
            </w:r>
          </w:p>
        </w:tc>
        <w:tc>
          <w:tcPr>
            <w:gridSpan w:val="4"/>
            <w:vAlign w:val="center"/>
          </w:tcPr>
          <w:p>
            <w:pPr>
              <w:rPr>
                <w:color w:val="auto"/>
              </w:rPr>
            </w:pPr>
            <w:r>
              <w:rPr>
                <w:b/>
                <w:color w:val="auto"/>
              </w:rPr>
              <w:t>满足</w:t>
            </w:r>
          </w:p>
        </w:tc>
      </w:tr>
    </w:tbl>
    <w:p>
      <w:pPr>
        <w:pStyle w:val="4"/>
      </w:pPr>
      <w:bookmarkStart w:id="27" w:name="平均迎风面积比"/>
      <w:bookmarkEnd w:id="27"/>
      <w:bookmarkStart w:id="28" w:name="_Toc12799"/>
      <w:r>
        <w:rPr>
          <w:rFonts w:hint="eastAsia"/>
        </w:rPr>
        <w:t>活动场地遮阳覆盖率</w:t>
      </w:r>
      <w:bookmarkEnd w:id="28"/>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1345</w:t>
            </w:r>
          </w:p>
        </w:tc>
        <w:tc>
          <w:tcPr>
            <w:vAlign w:val="center"/>
          </w:tcPr>
          <w:p>
            <w:pPr>
              <w:rPr>
                <w:color w:val="auto"/>
              </w:rPr>
            </w:pPr>
            <w:r>
              <w:rPr>
                <w:color w:val="auto"/>
              </w:rPr>
              <w:t>2458.8</w:t>
            </w:r>
          </w:p>
        </w:tc>
        <w:tc>
          <w:tcPr>
            <w:vAlign w:val="center"/>
          </w:tcPr>
          <w:p>
            <w:pPr>
              <w:rPr>
                <w:rFonts w:hint="default" w:eastAsia="宋体"/>
                <w:color w:val="auto"/>
                <w:lang w:val="en-US" w:eastAsia="zh-CN"/>
              </w:rPr>
            </w:pPr>
            <w:r>
              <w:rPr>
                <w:rFonts w:hint="eastAsia"/>
                <w:color w:val="auto"/>
                <w:lang w:val="en-US" w:eastAsia="zh-CN"/>
              </w:rPr>
              <w:t>54.70</w:t>
            </w:r>
          </w:p>
        </w:tc>
        <w:tc>
          <w:tcPr>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62</w:t>
            </w:r>
          </w:p>
        </w:tc>
        <w:tc>
          <w:tcPr>
            <w:vAlign w:val="center"/>
          </w:tcPr>
          <w:p>
            <w:pPr>
              <w:rPr>
                <w:color w:val="auto"/>
              </w:rPr>
            </w:pPr>
            <w:r>
              <w:rPr>
                <w:color w:val="auto"/>
              </w:rPr>
              <w:t>153.5</w:t>
            </w:r>
          </w:p>
        </w:tc>
        <w:tc>
          <w:tcPr>
            <w:vAlign w:val="center"/>
          </w:tcPr>
          <w:p>
            <w:pPr>
              <w:rPr>
                <w:rFonts w:hint="default" w:eastAsia="宋体"/>
                <w:color w:val="auto"/>
                <w:lang w:val="en-US" w:eastAsia="zh-CN"/>
              </w:rPr>
            </w:pPr>
            <w:r>
              <w:rPr>
                <w:rFonts w:hint="eastAsia"/>
                <w:color w:val="auto"/>
                <w:lang w:val="en-US" w:eastAsia="zh-CN"/>
              </w:rPr>
              <w:t>40.39</w:t>
            </w:r>
          </w:p>
        </w:tc>
        <w:tc>
          <w:tcPr>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auto"/>
              </w:rPr>
              <w:t>满足</w:t>
            </w:r>
          </w:p>
        </w:tc>
      </w:tr>
    </w:tbl>
    <w:p>
      <w:pPr>
        <w:pStyle w:val="3"/>
        <w:ind w:firstLine="420"/>
        <w:rPr>
          <w:lang w:val="en-US"/>
        </w:rPr>
      </w:pPr>
      <w:bookmarkStart w:id="29" w:name="活动场地遮阳覆盖率"/>
      <w:bookmarkEnd w:id="29"/>
    </w:p>
    <w:p>
      <w:pPr>
        <w:pStyle w:val="4"/>
      </w:pPr>
      <w:bookmarkStart w:id="30" w:name="_Toc29496"/>
      <w:r>
        <w:rPr>
          <w:rFonts w:hint="eastAsia"/>
        </w:rPr>
        <w:t>底层通风架空率</w:t>
      </w:r>
      <w:bookmarkEnd w:id="3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建筑名称</w:t>
            </w:r>
          </w:p>
        </w:tc>
        <w:tc>
          <w:tcPr>
            <w:tcW w:w="1866" w:type="dxa"/>
            <w:shd w:val="clear" w:color="auto" w:fill="E6E6E6"/>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底层架空面积</w:t>
            </w:r>
            <w:r>
              <w:rPr>
                <w:rStyle w:val="25"/>
                <w:rFonts w:eastAsia="宋体"/>
                <w:lang w:val="en-US" w:eastAsia="zh-CN" w:bidi="ar"/>
              </w:rPr>
              <w:t>(</w:t>
            </w:r>
            <w:r>
              <w:rPr>
                <w:rStyle w:val="26"/>
                <w:lang w:val="en-US" w:eastAsia="zh-CN" w:bidi="ar"/>
              </w:rPr>
              <w:t>㎡</w:t>
            </w:r>
            <w:r>
              <w:rPr>
                <w:rStyle w:val="25"/>
                <w:rFonts w:eastAsia="宋体"/>
                <w:lang w:val="en-US" w:eastAsia="zh-CN" w:bidi="ar"/>
              </w:rPr>
              <w:t>)</w:t>
            </w:r>
          </w:p>
        </w:tc>
        <w:tc>
          <w:tcPr>
            <w:tcW w:w="1866" w:type="dxa"/>
            <w:shd w:val="clear" w:color="auto" w:fill="E6E6E6"/>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基底面积</w:t>
            </w:r>
            <w:r>
              <w:rPr>
                <w:rStyle w:val="25"/>
                <w:rFonts w:eastAsia="宋体"/>
                <w:lang w:val="en-US" w:eastAsia="zh-CN" w:bidi="ar"/>
              </w:rPr>
              <w:t>(</w:t>
            </w:r>
            <w:r>
              <w:rPr>
                <w:rStyle w:val="26"/>
                <w:lang w:val="en-US" w:eastAsia="zh-CN" w:bidi="ar"/>
              </w:rPr>
              <w:t>㎡</w:t>
            </w:r>
            <w:r>
              <w:rPr>
                <w:rStyle w:val="25"/>
                <w:rFonts w:eastAsia="宋体"/>
                <w:lang w:val="en-US" w:eastAsia="zh-CN" w:bidi="ar"/>
              </w:rPr>
              <w:t>)</w:t>
            </w:r>
          </w:p>
        </w:tc>
        <w:tc>
          <w:tcPr>
            <w:tcW w:w="1866" w:type="dxa"/>
            <w:shd w:val="clear" w:color="auto" w:fill="E6E6E6"/>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迎风面宽度</w:t>
            </w:r>
            <w:r>
              <w:rPr>
                <w:rStyle w:val="25"/>
                <w:rFonts w:eastAsia="宋体"/>
                <w:lang w:val="en-US" w:eastAsia="zh-CN" w:bidi="ar"/>
              </w:rPr>
              <w:t>(m)</w:t>
            </w:r>
          </w:p>
        </w:tc>
        <w:tc>
          <w:tcPr>
            <w:tcW w:w="1866" w:type="dxa"/>
            <w:shd w:val="clear" w:color="auto" w:fill="E6E6E6"/>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底层通风架空率</w:t>
            </w:r>
            <w:r>
              <w:rPr>
                <w:rStyle w:val="25"/>
                <w:rFonts w:eastAsia="宋体"/>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461.1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51.6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2#</w:t>
            </w:r>
          </w:p>
        </w:tc>
        <w:tc>
          <w:tcPr>
            <w:tcW w:w="1866" w:type="dxa"/>
            <w:vAlign w:val="center"/>
          </w:tcPr>
          <w:p>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color w:val="000000"/>
                <w:kern w:val="0"/>
                <w:sz w:val="21"/>
                <w:szCs w:val="21"/>
                <w:u w:val="none"/>
                <w:lang w:val="en-US" w:eastAsia="zh-CN" w:bidi="ar"/>
              </w:rPr>
              <w:t>230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573.4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52.4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40.11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295</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295.7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31.9</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99.76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5#</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561.4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58.2</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455.4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41.6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691.6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77.7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8#</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254.4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27.6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9#</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254.4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27.6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10#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874.8</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89.1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11#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409.9</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37.5</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12#</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320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573.4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52.4</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 xml:space="preserve">55.81 </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13#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1080.3</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15#</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1483.7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81.1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16#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461.1</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51.6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17#</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1104.5</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123.2</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配电房</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384.8</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29.6</w:t>
            </w:r>
          </w:p>
        </w:tc>
        <w:tc>
          <w:tcPr>
            <w:tcW w:w="18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依据</w:t>
            </w:r>
          </w:p>
        </w:tc>
        <w:tc>
          <w:tcPr>
            <w:tcW w:w="7464" w:type="dxa"/>
            <w:gridSpan w:val="4"/>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《城市居住区热环境设计标准》</w:t>
            </w:r>
            <w:r>
              <w:rPr>
                <w:rStyle w:val="25"/>
                <w:rFonts w:eastAsia="宋体"/>
                <w:lang w:val="en-US" w:eastAsia="zh-CN" w:bidi="ar"/>
              </w:rPr>
              <w:t>4.1.4</w:t>
            </w:r>
            <w:r>
              <w:rPr>
                <w:rStyle w:val="26"/>
                <w:lang w:val="en-US" w:eastAsia="zh-CN" w:bidi="ar"/>
              </w:rPr>
              <w:t>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标准要求</w:t>
            </w:r>
          </w:p>
        </w:tc>
        <w:tc>
          <w:tcPr>
            <w:tcW w:w="7464" w:type="dxa"/>
            <w:gridSpan w:val="4"/>
            <w:vAlign w:val="center"/>
          </w:tcPr>
          <w:p>
            <w:pPr>
              <w:keepNext w:val="0"/>
              <w:keepLines w:val="0"/>
              <w:widowControl/>
              <w:suppressLineNumbers w:val="0"/>
              <w:jc w:val="left"/>
              <w:textAlignment w:val="center"/>
            </w:pPr>
            <w:r>
              <w:rPr>
                <w:rFonts w:hint="default" w:ascii="Times New Roman" w:hAnsi="Times New Roman" w:eastAsia="宋体" w:cs="Times New Roman"/>
                <w:i w:val="0"/>
                <w:color w:val="000000"/>
                <w:kern w:val="0"/>
                <w:sz w:val="21"/>
                <w:szCs w:val="21"/>
                <w:u w:val="none"/>
                <w:lang w:val="en-US" w:eastAsia="zh-CN" w:bidi="ar"/>
              </w:rPr>
              <w:t>III</w:t>
            </w:r>
            <w:r>
              <w:rPr>
                <w:rStyle w:val="26"/>
                <w:lang w:val="en-US" w:eastAsia="zh-CN" w:bidi="ar"/>
              </w:rPr>
              <w:t>、</w:t>
            </w:r>
            <w:r>
              <w:rPr>
                <w:rStyle w:val="25"/>
                <w:rFonts w:eastAsia="宋体"/>
                <w:lang w:val="en-US" w:eastAsia="zh-CN" w:bidi="ar"/>
              </w:rPr>
              <w:t>IV</w:t>
            </w:r>
            <w:r>
              <w:rPr>
                <w:rStyle w:val="26"/>
                <w:lang w:val="en-US" w:eastAsia="zh-CN" w:bidi="ar"/>
              </w:rPr>
              <w:t>、</w:t>
            </w:r>
            <w:r>
              <w:rPr>
                <w:rStyle w:val="25"/>
                <w:rFonts w:eastAsia="宋体"/>
                <w:lang w:val="en-US" w:eastAsia="zh-CN" w:bidi="ar"/>
              </w:rPr>
              <w:t>V</w:t>
            </w:r>
            <w:r>
              <w:rPr>
                <w:rStyle w:val="26"/>
                <w:lang w:val="en-US" w:eastAsia="zh-CN" w:bidi="ar"/>
              </w:rPr>
              <w:t>气候区，夏季主导风向迎风面积宽度超过</w:t>
            </w:r>
            <w:r>
              <w:rPr>
                <w:rStyle w:val="25"/>
                <w:rFonts w:eastAsia="宋体"/>
                <w:lang w:val="en-US" w:eastAsia="zh-CN" w:bidi="ar"/>
              </w:rPr>
              <w:t>80m</w:t>
            </w:r>
            <w:r>
              <w:rPr>
                <w:rStyle w:val="26"/>
                <w:lang w:val="en-US" w:eastAsia="zh-CN" w:bidi="ar"/>
              </w:rPr>
              <w:t>时，底层通风架空率不应小于</w:t>
            </w:r>
            <w:r>
              <w:rPr>
                <w:rStyle w:val="25"/>
                <w:rFonts w:eastAsia="宋体"/>
                <w:lang w:val="en-US" w:eastAsia="zh-CN" w:bidi="ar"/>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结论</w:t>
            </w:r>
          </w:p>
        </w:tc>
        <w:tc>
          <w:tcPr>
            <w:tcW w:w="7464" w:type="dxa"/>
            <w:gridSpan w:val="4"/>
            <w:vAlign w:val="center"/>
          </w:tcPr>
          <w:p>
            <w:pPr>
              <w:keepNext w:val="0"/>
              <w:keepLines w:val="0"/>
              <w:widowControl/>
              <w:suppressLineNumbers w:val="0"/>
              <w:jc w:val="left"/>
              <w:textAlignment w:val="center"/>
            </w:pPr>
            <w:r>
              <w:rPr>
                <w:rFonts w:hint="eastAsia" w:ascii="宋体" w:hAnsi="宋体" w:eastAsia="宋体" w:cs="宋体"/>
                <w:i w:val="0"/>
                <w:color w:val="FF0000"/>
                <w:kern w:val="0"/>
                <w:sz w:val="21"/>
                <w:szCs w:val="21"/>
                <w:u w:val="none"/>
                <w:lang w:val="en-US" w:eastAsia="zh-CN" w:bidi="ar"/>
              </w:rPr>
              <w:t>不满足</w:t>
            </w:r>
          </w:p>
        </w:tc>
      </w:tr>
    </w:tbl>
    <w:p>
      <w:pPr>
        <w:pStyle w:val="4"/>
      </w:pPr>
      <w:bookmarkStart w:id="31" w:name="底层通风架空率"/>
      <w:bookmarkEnd w:id="31"/>
      <w:bookmarkStart w:id="32" w:name="_Toc15697"/>
      <w:r>
        <w:rPr>
          <w:rFonts w:hint="eastAsia"/>
        </w:rPr>
        <w:t>绿化遮阳体叶面积指数</w:t>
      </w:r>
      <w:bookmarkEnd w:id="3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遮阳体类型</w:t>
            </w:r>
          </w:p>
        </w:tc>
        <w:tc>
          <w:tcPr>
            <w:shd w:val="clear" w:color="auto" w:fill="E6E6E6"/>
            <w:vAlign w:val="center"/>
          </w:tcPr>
          <w:p>
            <w:pPr>
              <w:jc w:val="center"/>
            </w:pPr>
            <w:r>
              <w:t>叶面积指数</w:t>
            </w:r>
          </w:p>
        </w:tc>
        <w:tc>
          <w:tcPr>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乔木</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爬藤棚架</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绿化遮阳体叶面积指数不应小于3.0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rPr>
                <w:color w:val="FF0000"/>
              </w:rPr>
              <w:t>不满足</w:t>
            </w:r>
          </w:p>
        </w:tc>
      </w:tr>
    </w:tbl>
    <w:p>
      <w:pPr>
        <w:pStyle w:val="3"/>
        <w:ind w:firstLine="420"/>
        <w:rPr>
          <w:lang w:val="en-US"/>
        </w:rPr>
      </w:pPr>
      <w:bookmarkStart w:id="33" w:name="绿化遮阳体叶面积指数"/>
      <w:bookmarkEnd w:id="33"/>
    </w:p>
    <w:p>
      <w:pPr>
        <w:pStyle w:val="4"/>
      </w:pPr>
      <w:bookmarkStart w:id="34" w:name="_Toc4517"/>
      <w:r>
        <w:rPr>
          <w:rFonts w:hint="eastAsia"/>
        </w:rPr>
        <w:t>渗透蒸发指标</w:t>
      </w:r>
      <w:bookmarkEnd w:id="3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地面透水系数k(mm/s)</w:t>
            </w:r>
          </w:p>
        </w:tc>
        <w:tc>
          <w:tcPr>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2459</w:t>
            </w:r>
          </w:p>
        </w:tc>
        <w:tc>
          <w:tcPr>
            <w:vAlign w:val="center"/>
          </w:tcPr>
          <w:p>
            <w:r>
              <w:t>0.941</w:t>
            </w:r>
          </w:p>
        </w:tc>
        <w:tc>
          <w:tcPr>
            <w:vAlign w:val="center"/>
          </w:tcPr>
          <w:p>
            <w:r>
              <w:t>3.09</w:t>
            </w:r>
          </w:p>
        </w:tc>
        <w:tc>
          <w:tcPr>
            <w:vAlign w:val="center"/>
          </w:tcPr>
          <w:p>
            <w:r>
              <w:t>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t>154</w:t>
            </w:r>
          </w:p>
        </w:tc>
        <w:tc>
          <w:tcPr>
            <w:vAlign w:val="center"/>
          </w:tcPr>
          <w:p>
            <w:r>
              <w:t>0.059</w:t>
            </w:r>
          </w:p>
        </w:tc>
        <w:tc>
          <w:tcPr>
            <w:vAlign w:val="center"/>
          </w:tcPr>
          <w:p>
            <w:r>
              <w:t>11.38</w:t>
            </w:r>
          </w:p>
        </w:tc>
        <w:tc>
          <w:tcPr>
            <w:vAlign w:val="center"/>
          </w:tcPr>
          <w:p>
            <w:r>
              <w:t>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2612</w:t>
            </w:r>
          </w:p>
        </w:tc>
        <w:tc>
          <w:tcPr>
            <w:vAlign w:val="center"/>
          </w:tcPr>
          <w:p>
            <w:r>
              <w:t>1.0</w:t>
            </w:r>
          </w:p>
        </w:tc>
        <w:tc>
          <w:tcPr>
            <w:vAlign w:val="center"/>
          </w:tcPr>
          <w:p>
            <w:r>
              <w:t>3.57</w:t>
            </w:r>
          </w:p>
        </w:tc>
        <w:tc>
          <w:tcPr>
            <w:vAlign w:val="center"/>
          </w:tcPr>
          <w:p>
            <w:r>
              <w:t>1.32</w:t>
            </w:r>
          </w:p>
        </w:tc>
      </w:tr>
    </w:tbl>
    <w:p>
      <w:pPr>
        <w:pStyle w:val="3"/>
        <w:ind w:firstLine="420"/>
        <w:rPr>
          <w:lang w:val="en-US"/>
        </w:rPr>
      </w:pPr>
      <w:bookmarkStart w:id="35" w:name="渗透蒸发指标"/>
      <w:bookmarkEnd w:id="3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渗透面积比率(%)</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100</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t>100</w:t>
            </w:r>
          </w:p>
        </w:tc>
        <w:tc>
          <w:tcPr>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地面透水系数k(mm/s)</w:t>
            </w:r>
          </w:p>
        </w:tc>
        <w:tc>
          <w:tcPr>
            <w:vAlign w:val="center"/>
          </w:tcPr>
          <w:p>
            <w:r>
              <w:t>3.57</w:t>
            </w:r>
          </w:p>
        </w:tc>
        <w:tc>
          <w:tcPr>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蒸发量m(kg/(㎡·d))</w:t>
            </w:r>
          </w:p>
        </w:tc>
        <w:tc>
          <w:tcPr>
            <w:vAlign w:val="center"/>
          </w:tcPr>
          <w:p>
            <w:r>
              <w:t>1.32</w:t>
            </w:r>
          </w:p>
        </w:tc>
        <w:tc>
          <w:tcPr>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t>满足</w:t>
            </w:r>
          </w:p>
        </w:tc>
      </w:tr>
    </w:tbl>
    <w:p>
      <w:pPr>
        <w:pStyle w:val="4"/>
      </w:pPr>
      <w:bookmarkStart w:id="36" w:name="_Toc10498"/>
      <w:r>
        <w:rPr>
          <w:rFonts w:hint="eastAsia"/>
        </w:rPr>
        <w:t>屋面绿化率</w:t>
      </w:r>
      <w:bookmarkEnd w:id="3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屋面轮廓面积(㎡)</w:t>
            </w:r>
          </w:p>
        </w:tc>
        <w:tc>
          <w:tcPr>
            <w:shd w:val="clear" w:color="auto" w:fill="E6E6E6"/>
            <w:vAlign w:val="center"/>
          </w:tcPr>
          <w:p>
            <w:pPr>
              <w:jc w:val="center"/>
            </w:pPr>
            <w:r>
              <w:t>屋顶绿化面积(㎡)</w:t>
            </w:r>
          </w:p>
        </w:tc>
        <w:tc>
          <w:tcPr>
            <w:shd w:val="clear" w:color="auto" w:fill="E6E6E6"/>
            <w:vAlign w:val="center"/>
          </w:tcPr>
          <w:p>
            <w:pPr>
              <w:jc w:val="center"/>
            </w:pPr>
            <w:r>
              <w:t>可绿化屋面</w:t>
            </w:r>
            <w:r>
              <w:br w:type="textWrapping"/>
            </w:r>
            <w:r>
              <w:t>面积(㎡)</w:t>
            </w:r>
          </w:p>
        </w:tc>
        <w:tc>
          <w:tcPr>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461.1</w:t>
            </w:r>
          </w:p>
        </w:tc>
        <w:tc>
          <w:tcPr>
            <w:vAlign w:val="center"/>
          </w:tcPr>
          <w:p>
            <w:r>
              <w:t>0.0</w:t>
            </w:r>
          </w:p>
        </w:tc>
        <w:tc>
          <w:tcPr>
            <w:vAlign w:val="center"/>
          </w:tcPr>
          <w:p>
            <w:r>
              <w:t>461.1</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w:t>
            </w:r>
          </w:p>
        </w:tc>
        <w:tc>
          <w:tcPr>
            <w:vAlign w:val="center"/>
          </w:tcPr>
          <w:p>
            <w:r>
              <w:t>573.4</w:t>
            </w:r>
          </w:p>
        </w:tc>
        <w:tc>
          <w:tcPr>
            <w:vAlign w:val="center"/>
          </w:tcPr>
          <w:p>
            <w:r>
              <w:t>0.0</w:t>
            </w:r>
          </w:p>
        </w:tc>
        <w:tc>
          <w:tcPr>
            <w:vAlign w:val="center"/>
          </w:tcPr>
          <w:p>
            <w:r>
              <w:t>573.4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w:t>
            </w:r>
          </w:p>
        </w:tc>
        <w:tc>
          <w:tcPr>
            <w:vAlign w:val="center"/>
          </w:tcPr>
          <w:p>
            <w:r>
              <w:t>295.7</w:t>
            </w:r>
          </w:p>
        </w:tc>
        <w:tc>
          <w:tcPr>
            <w:vAlign w:val="center"/>
          </w:tcPr>
          <w:p>
            <w:r>
              <w:t>0.0</w:t>
            </w:r>
          </w:p>
        </w:tc>
        <w:tc>
          <w:tcPr>
            <w:vAlign w:val="center"/>
          </w:tcPr>
          <w:p>
            <w:r>
              <w:t>295.7</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w:t>
            </w:r>
          </w:p>
        </w:tc>
        <w:tc>
          <w:tcPr>
            <w:vAlign w:val="center"/>
          </w:tcPr>
          <w:p>
            <w:r>
              <w:t>561.4</w:t>
            </w:r>
          </w:p>
        </w:tc>
        <w:tc>
          <w:tcPr>
            <w:vAlign w:val="center"/>
          </w:tcPr>
          <w:p>
            <w:r>
              <w:t>0.0</w:t>
            </w:r>
          </w:p>
        </w:tc>
        <w:tc>
          <w:tcPr>
            <w:vAlign w:val="center"/>
          </w:tcPr>
          <w:p>
            <w:r>
              <w:t>561.4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w:t>
            </w:r>
          </w:p>
        </w:tc>
        <w:tc>
          <w:tcPr>
            <w:vAlign w:val="center"/>
          </w:tcPr>
          <w:p>
            <w:r>
              <w:t>455.4</w:t>
            </w:r>
          </w:p>
        </w:tc>
        <w:tc>
          <w:tcPr>
            <w:vAlign w:val="center"/>
          </w:tcPr>
          <w:p>
            <w:r>
              <w:t>0.0</w:t>
            </w:r>
          </w:p>
        </w:tc>
        <w:tc>
          <w:tcPr>
            <w:vAlign w:val="center"/>
          </w:tcPr>
          <w:p>
            <w:r>
              <w:t>455.4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w:t>
            </w:r>
          </w:p>
        </w:tc>
        <w:tc>
          <w:tcPr>
            <w:vAlign w:val="center"/>
          </w:tcPr>
          <w:p>
            <w:r>
              <w:t>691.6</w:t>
            </w:r>
          </w:p>
        </w:tc>
        <w:tc>
          <w:tcPr>
            <w:vAlign w:val="center"/>
          </w:tcPr>
          <w:p>
            <w:r>
              <w:t>0.0</w:t>
            </w:r>
          </w:p>
        </w:tc>
        <w:tc>
          <w:tcPr>
            <w:vAlign w:val="center"/>
          </w:tcPr>
          <w:p>
            <w:r>
              <w:t>691.6</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w:t>
            </w:r>
          </w:p>
        </w:tc>
        <w:tc>
          <w:tcPr>
            <w:vAlign w:val="center"/>
          </w:tcPr>
          <w:p>
            <w:r>
              <w:t>254.4</w:t>
            </w:r>
          </w:p>
        </w:tc>
        <w:tc>
          <w:tcPr>
            <w:vAlign w:val="center"/>
          </w:tcPr>
          <w:p>
            <w:r>
              <w:t>0.0</w:t>
            </w:r>
          </w:p>
        </w:tc>
        <w:tc>
          <w:tcPr>
            <w:vAlign w:val="center"/>
          </w:tcPr>
          <w:p>
            <w:r>
              <w:t>254.4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w:t>
            </w:r>
          </w:p>
        </w:tc>
        <w:tc>
          <w:tcPr>
            <w:vAlign w:val="center"/>
          </w:tcPr>
          <w:p>
            <w:r>
              <w:t>254.4</w:t>
            </w:r>
          </w:p>
        </w:tc>
        <w:tc>
          <w:tcPr>
            <w:vAlign w:val="center"/>
          </w:tcPr>
          <w:p>
            <w:r>
              <w:t>0.0</w:t>
            </w:r>
          </w:p>
        </w:tc>
        <w:tc>
          <w:tcPr>
            <w:vAlign w:val="center"/>
          </w:tcPr>
          <w:p>
            <w:r>
              <w:t>254.4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w:t>
            </w:r>
          </w:p>
        </w:tc>
        <w:tc>
          <w:tcPr>
            <w:vAlign w:val="center"/>
          </w:tcPr>
          <w:p>
            <w:r>
              <w:t>874.8</w:t>
            </w:r>
          </w:p>
        </w:tc>
        <w:tc>
          <w:tcPr>
            <w:vAlign w:val="center"/>
          </w:tcPr>
          <w:p>
            <w:r>
              <w:t>0.0</w:t>
            </w:r>
          </w:p>
        </w:tc>
        <w:tc>
          <w:tcPr>
            <w:vAlign w:val="center"/>
          </w:tcPr>
          <w:p>
            <w:r>
              <w:t>874.8</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w:t>
            </w:r>
          </w:p>
        </w:tc>
        <w:tc>
          <w:tcPr>
            <w:vAlign w:val="center"/>
          </w:tcPr>
          <w:p>
            <w:r>
              <w:t>409.9</w:t>
            </w:r>
          </w:p>
        </w:tc>
        <w:tc>
          <w:tcPr>
            <w:vAlign w:val="center"/>
          </w:tcPr>
          <w:p>
            <w:r>
              <w:t>0.0</w:t>
            </w:r>
          </w:p>
        </w:tc>
        <w:tc>
          <w:tcPr>
            <w:vAlign w:val="center"/>
          </w:tcPr>
          <w:p>
            <w:r>
              <w:t>409.9</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w:t>
            </w:r>
          </w:p>
        </w:tc>
        <w:tc>
          <w:tcPr>
            <w:vAlign w:val="center"/>
          </w:tcPr>
          <w:p>
            <w:r>
              <w:t>573.4</w:t>
            </w:r>
          </w:p>
        </w:tc>
        <w:tc>
          <w:tcPr>
            <w:vAlign w:val="center"/>
          </w:tcPr>
          <w:p>
            <w:r>
              <w:t>0.0</w:t>
            </w:r>
          </w:p>
        </w:tc>
        <w:tc>
          <w:tcPr>
            <w:vAlign w:val="center"/>
          </w:tcPr>
          <w:p>
            <w:r>
              <w:t>573.4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w:t>
            </w:r>
          </w:p>
        </w:tc>
        <w:tc>
          <w:tcPr>
            <w:vAlign w:val="center"/>
          </w:tcPr>
          <w:p>
            <w:r>
              <w:t>1080.3</w:t>
            </w:r>
          </w:p>
        </w:tc>
        <w:tc>
          <w:tcPr>
            <w:vAlign w:val="center"/>
          </w:tcPr>
          <w:p>
            <w:r>
              <w:t>0.0</w:t>
            </w:r>
          </w:p>
        </w:tc>
        <w:tc>
          <w:tcPr>
            <w:vAlign w:val="center"/>
          </w:tcPr>
          <w:p>
            <w:r>
              <w:t>1080.3</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w:t>
            </w:r>
          </w:p>
        </w:tc>
        <w:tc>
          <w:tcPr>
            <w:vAlign w:val="center"/>
          </w:tcPr>
          <w:p>
            <w:r>
              <w:t>1483.7</w:t>
            </w:r>
          </w:p>
        </w:tc>
        <w:tc>
          <w:tcPr>
            <w:vAlign w:val="center"/>
          </w:tcPr>
          <w:p>
            <w:r>
              <w:t>0.0</w:t>
            </w:r>
          </w:p>
        </w:tc>
        <w:tc>
          <w:tcPr>
            <w:vAlign w:val="center"/>
          </w:tcPr>
          <w:p>
            <w:r>
              <w:t>1483.7</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w:t>
            </w:r>
          </w:p>
        </w:tc>
        <w:tc>
          <w:tcPr>
            <w:vAlign w:val="center"/>
          </w:tcPr>
          <w:p>
            <w:r>
              <w:t>461.1</w:t>
            </w:r>
          </w:p>
        </w:tc>
        <w:tc>
          <w:tcPr>
            <w:vAlign w:val="center"/>
          </w:tcPr>
          <w:p>
            <w:r>
              <w:t>0.0</w:t>
            </w:r>
          </w:p>
        </w:tc>
        <w:tc>
          <w:tcPr>
            <w:vAlign w:val="center"/>
          </w:tcPr>
          <w:p>
            <w:r>
              <w:t>461.1</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w:t>
            </w:r>
          </w:p>
        </w:tc>
        <w:tc>
          <w:tcPr>
            <w:vAlign w:val="center"/>
          </w:tcPr>
          <w:p>
            <w:r>
              <w:t>1104.5</w:t>
            </w:r>
          </w:p>
        </w:tc>
        <w:tc>
          <w:tcPr>
            <w:vAlign w:val="center"/>
          </w:tcPr>
          <w:p>
            <w:r>
              <w:t>0.0</w:t>
            </w:r>
          </w:p>
        </w:tc>
        <w:tc>
          <w:tcPr>
            <w:vAlign w:val="center"/>
          </w:tcPr>
          <w:p>
            <w:r>
              <w:t>1104.5</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配电房</w:t>
            </w:r>
          </w:p>
        </w:tc>
        <w:tc>
          <w:tcPr>
            <w:vAlign w:val="center"/>
          </w:tcPr>
          <w:p>
            <w:r>
              <w:t>384.8</w:t>
            </w:r>
          </w:p>
        </w:tc>
        <w:tc>
          <w:tcPr>
            <w:vAlign w:val="center"/>
          </w:tcPr>
          <w:p>
            <w:r>
              <w:t>0.0</w:t>
            </w:r>
          </w:p>
        </w:tc>
        <w:tc>
          <w:tcPr>
            <w:vAlign w:val="center"/>
          </w:tcPr>
          <w:p>
            <w:r>
              <w:t>384.8</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9919.8</w:t>
            </w:r>
          </w:p>
        </w:tc>
        <w:tc>
          <w:tcPr>
            <w:vAlign w:val="center"/>
          </w:tcPr>
          <w:p>
            <w:r>
              <w:t>0.0</w:t>
            </w:r>
          </w:p>
        </w:tc>
        <w:tc>
          <w:tcPr>
            <w:vAlign w:val="center"/>
          </w:tcPr>
          <w:p>
            <w:r>
              <w:t>9919.8</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2"/>
      </w:pPr>
      <w:bookmarkStart w:id="37" w:name="屋面绿化率"/>
      <w:bookmarkEnd w:id="37"/>
      <w:bookmarkStart w:id="38" w:name="_Toc24914"/>
      <w:r>
        <w:rPr>
          <w:rFonts w:hint="eastAsia"/>
        </w:rPr>
        <w:t>评价性设计</w:t>
      </w:r>
      <w:bookmarkEnd w:id="38"/>
    </w:p>
    <w:p>
      <w:pPr>
        <w:pStyle w:val="4"/>
      </w:pPr>
      <w:bookmarkStart w:id="39" w:name="_Toc19163"/>
      <w:r>
        <w:rPr>
          <w:rFonts w:hint="eastAsia"/>
        </w:rPr>
        <w:t>平均热岛强度</w:t>
      </w:r>
      <w:bookmarkEnd w:id="3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1.5</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1.9</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24.9</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27.4</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2.3</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2.3</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2.4</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25.7</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28.3</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4.1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2.3</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2.4</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27.5</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29.2</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5.2</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2.3</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2.4</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28.6</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30.1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7.1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2.2</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30.9</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30.8</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8.7</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1.9</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32.8</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31.1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9.1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2.4</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1.5</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33.3</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9.6</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1.3</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34.3</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30.7</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9.8</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34.8</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30.1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10.1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0.7</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35.4</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29.4</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28.1</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9.2</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0.5</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34.8</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28.7</w:t>
            </w:r>
          </w:p>
        </w:tc>
        <w:tc>
          <w:tcPr>
            <w:tcW w:w="1166"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color w:val="000000"/>
                <w:kern w:val="0"/>
                <w:sz w:val="21"/>
                <w:szCs w:val="21"/>
                <w:u w:val="none"/>
                <w:lang w:val="en-US" w:eastAsia="zh-CN" w:bidi="ar"/>
              </w:rP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pPr>
              <w:rPr>
                <w:rFonts w:hint="default" w:eastAsia="宋体"/>
                <w:color w:val="auto"/>
                <w:lang w:val="en-US" w:eastAsia="zh-CN"/>
              </w:rPr>
            </w:pPr>
            <w:r>
              <w:rPr>
                <w:color w:val="auto"/>
              </w:rPr>
              <w:t>1.</w:t>
            </w:r>
            <w:r>
              <w:rPr>
                <w:rFonts w:hint="eastAsia"/>
                <w:color w:val="auto"/>
                <w:lang w:val="en-US" w:eastAsia="zh-CN"/>
              </w:rP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pPr>
              <w:rPr>
                <w:color w:val="auto"/>
              </w:rPr>
            </w:pPr>
            <w:r>
              <w:rPr>
                <w:color w:val="auto"/>
              </w:rP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pPr>
              <w:rPr>
                <w:color w:val="auto"/>
              </w:rPr>
            </w:pPr>
            <w:r>
              <w:rPr>
                <w:color w:val="auto"/>
              </w:rP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pPr>
              <w:rPr>
                <w:color w:val="auto"/>
              </w:rPr>
            </w:pPr>
            <w:r>
              <w:rPr>
                <w:color w:val="auto"/>
              </w:rPr>
              <w:t>满足</w:t>
            </w:r>
          </w:p>
        </w:tc>
      </w:tr>
    </w:tbl>
    <w:p>
      <w:pPr>
        <w:pStyle w:val="4"/>
      </w:pPr>
      <w:bookmarkStart w:id="40" w:name="平均热岛强度"/>
      <w:bookmarkEnd w:id="40"/>
      <w:bookmarkStart w:id="41" w:name="平均热岛强度图片"/>
      <w:bookmarkEnd w:id="41"/>
      <w:bookmarkStart w:id="42" w:name="_Toc28101"/>
      <w:r>
        <w:rPr>
          <w:rFonts w:hint="eastAsia"/>
        </w:rPr>
        <w:t>湿球黑球温度</w:t>
      </w:r>
      <w:bookmarkEnd w:id="4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25.3</w:t>
            </w:r>
          </w:p>
        </w:tc>
        <w:tc>
          <w:tcPr>
            <w:vAlign w:val="center"/>
          </w:tcPr>
          <w:p>
            <w:r>
              <w:t>0.9</w:t>
            </w:r>
          </w:p>
        </w:tc>
        <w:tc>
          <w:tcPr>
            <w:vAlign w:val="center"/>
          </w:tcPr>
          <w:p>
            <w:r>
              <w:t>238.0</w:t>
            </w:r>
          </w:p>
        </w:tc>
        <w:tc>
          <w:tcPr>
            <w:vAlign w:val="center"/>
          </w:tcPr>
          <w:p>
            <w:r>
              <w:t>52.9</w:t>
            </w:r>
          </w:p>
        </w:tc>
        <w:tc>
          <w:tcPr>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26.3</w:t>
            </w:r>
          </w:p>
        </w:tc>
        <w:tc>
          <w:tcPr>
            <w:vAlign w:val="center"/>
          </w:tcPr>
          <w:p>
            <w:r>
              <w:t>0.8</w:t>
            </w:r>
          </w:p>
        </w:tc>
        <w:tc>
          <w:tcPr>
            <w:vAlign w:val="center"/>
          </w:tcPr>
          <w:p>
            <w:r>
              <w:t>343.1</w:t>
            </w:r>
          </w:p>
        </w:tc>
        <w:tc>
          <w:tcPr>
            <w:vAlign w:val="center"/>
          </w:tcPr>
          <w:p>
            <w:r>
              <w:t>76.3</w:t>
            </w:r>
          </w:p>
        </w:tc>
        <w:tc>
          <w:tcPr>
            <w:vAlign w:val="center"/>
          </w:tcPr>
          <w:p>
            <w:r>
              <w:t>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27.7</w:t>
            </w:r>
          </w:p>
        </w:tc>
        <w:tc>
          <w:tcPr>
            <w:vAlign w:val="center"/>
          </w:tcPr>
          <w:p>
            <w:r>
              <w:t>0.8</w:t>
            </w:r>
          </w:p>
        </w:tc>
        <w:tc>
          <w:tcPr>
            <w:vAlign w:val="center"/>
          </w:tcPr>
          <w:p>
            <w:r>
              <w:t>423.4</w:t>
            </w:r>
          </w:p>
        </w:tc>
        <w:tc>
          <w:tcPr>
            <w:vAlign w:val="center"/>
          </w:tcPr>
          <w:p>
            <w:r>
              <w:t>94.2</w:t>
            </w:r>
          </w:p>
        </w:tc>
        <w:tc>
          <w:tcPr>
            <w:vAlign w:val="center"/>
          </w:tcPr>
          <w:p>
            <w:r>
              <w:t>26.2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29.3</w:t>
            </w:r>
          </w:p>
        </w:tc>
        <w:tc>
          <w:tcPr>
            <w:vAlign w:val="center"/>
          </w:tcPr>
          <w:p>
            <w:r>
              <w:t>0.7</w:t>
            </w:r>
          </w:p>
        </w:tc>
        <w:tc>
          <w:tcPr>
            <w:vAlign w:val="center"/>
          </w:tcPr>
          <w:p>
            <w:r>
              <w:t>479.5</w:t>
            </w:r>
          </w:p>
        </w:tc>
        <w:tc>
          <w:tcPr>
            <w:vAlign w:val="center"/>
          </w:tcPr>
          <w:p>
            <w:r>
              <w:t>106.6</w:t>
            </w:r>
          </w:p>
        </w:tc>
        <w:tc>
          <w:tcPr>
            <w:vAlign w:val="center"/>
          </w:tcPr>
          <w:p>
            <w:r>
              <w:t>27.1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31.1</w:t>
            </w:r>
          </w:p>
        </w:tc>
        <w:tc>
          <w:tcPr>
            <w:vAlign w:val="center"/>
          </w:tcPr>
          <w:p>
            <w:r>
              <w:t>0.6</w:t>
            </w:r>
          </w:p>
        </w:tc>
        <w:tc>
          <w:tcPr>
            <w:vAlign w:val="center"/>
          </w:tcPr>
          <w:p>
            <w:r>
              <w:t>506.2</w:t>
            </w:r>
          </w:p>
        </w:tc>
        <w:tc>
          <w:tcPr>
            <w:vAlign w:val="center"/>
          </w:tcPr>
          <w:p>
            <w:r>
              <w:t>112.6</w:t>
            </w:r>
          </w:p>
        </w:tc>
        <w:tc>
          <w:tcPr>
            <w:vAlign w:val="center"/>
          </w:tcPr>
          <w:p>
            <w:r>
              <w:t>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32.7</w:t>
            </w:r>
          </w:p>
        </w:tc>
        <w:tc>
          <w:tcPr>
            <w:vAlign w:val="center"/>
          </w:tcPr>
          <w:p>
            <w:r>
              <w:t>0.6</w:t>
            </w:r>
          </w:p>
        </w:tc>
        <w:tc>
          <w:tcPr>
            <w:vAlign w:val="center"/>
          </w:tcPr>
          <w:p>
            <w:r>
              <w:t>463.0</w:t>
            </w:r>
          </w:p>
        </w:tc>
        <w:tc>
          <w:tcPr>
            <w:vAlign w:val="center"/>
          </w:tcPr>
          <w:p>
            <w:r>
              <w:t>103.0</w:t>
            </w:r>
          </w:p>
        </w:tc>
        <w:tc>
          <w:tcPr>
            <w:vAlign w:val="center"/>
          </w:tcPr>
          <w:p>
            <w:r>
              <w:t>28.8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34.0</w:t>
            </w:r>
          </w:p>
        </w:tc>
        <w:tc>
          <w:tcPr>
            <w:vAlign w:val="center"/>
          </w:tcPr>
          <w:p>
            <w:r>
              <w:t>0.5</w:t>
            </w:r>
          </w:p>
        </w:tc>
        <w:tc>
          <w:tcPr>
            <w:vAlign w:val="center"/>
          </w:tcPr>
          <w:p>
            <w:r>
              <w:t>396.7</w:t>
            </w:r>
          </w:p>
        </w:tc>
        <w:tc>
          <w:tcPr>
            <w:vAlign w:val="center"/>
          </w:tcPr>
          <w:p>
            <w:r>
              <w:t>88.2</w:t>
            </w:r>
          </w:p>
        </w:tc>
        <w:tc>
          <w:tcPr>
            <w:vAlign w:val="center"/>
          </w:tcPr>
          <w:p>
            <w:r>
              <w:t>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34.8</w:t>
            </w:r>
          </w:p>
        </w:tc>
        <w:tc>
          <w:tcPr>
            <w:vAlign w:val="center"/>
          </w:tcPr>
          <w:p>
            <w:r>
              <w:t>0.5</w:t>
            </w:r>
          </w:p>
        </w:tc>
        <w:tc>
          <w:tcPr>
            <w:vAlign w:val="center"/>
          </w:tcPr>
          <w:p>
            <w:r>
              <w:t>310.1</w:t>
            </w:r>
          </w:p>
        </w:tc>
        <w:tc>
          <w:tcPr>
            <w:vAlign w:val="center"/>
          </w:tcPr>
          <w:p>
            <w:r>
              <w:t>69.0</w:t>
            </w:r>
          </w:p>
        </w:tc>
        <w:tc>
          <w:tcPr>
            <w:vAlign w:val="center"/>
          </w:tcPr>
          <w:p>
            <w:r>
              <w:t>29.8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35.3</w:t>
            </w:r>
          </w:p>
        </w:tc>
        <w:tc>
          <w:tcPr>
            <w:vAlign w:val="center"/>
          </w:tcPr>
          <w:p>
            <w:r>
              <w:t>0.5</w:t>
            </w:r>
          </w:p>
        </w:tc>
        <w:tc>
          <w:tcPr>
            <w:vAlign w:val="center"/>
          </w:tcPr>
          <w:p>
            <w:r>
              <w:t>205.9</w:t>
            </w:r>
          </w:p>
        </w:tc>
        <w:tc>
          <w:tcPr>
            <w:vAlign w:val="center"/>
          </w:tcPr>
          <w:p>
            <w:r>
              <w:t>45.8</w:t>
            </w:r>
          </w:p>
        </w:tc>
        <w:tc>
          <w:tcPr>
            <w:vAlign w:val="center"/>
          </w:tcPr>
          <w:p>
            <w:r>
              <w:t>29.7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35.4</w:t>
            </w:r>
          </w:p>
        </w:tc>
        <w:tc>
          <w:tcPr>
            <w:vAlign w:val="center"/>
          </w:tcPr>
          <w:p>
            <w:r>
              <w:t>0.5</w:t>
            </w:r>
          </w:p>
        </w:tc>
        <w:tc>
          <w:tcPr>
            <w:vAlign w:val="center"/>
          </w:tcPr>
          <w:p>
            <w:r>
              <w:t>104.3</w:t>
            </w:r>
          </w:p>
        </w:tc>
        <w:tc>
          <w:tcPr>
            <w:vAlign w:val="center"/>
          </w:tcPr>
          <w:p>
            <w:r>
              <w:t>23.2</w:t>
            </w:r>
          </w:p>
        </w:tc>
        <w:tc>
          <w:tcPr>
            <w:vAlign w:val="center"/>
          </w:tcPr>
          <w:p>
            <w:r>
              <w:t>29.7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35.1</w:t>
            </w:r>
          </w:p>
        </w:tc>
        <w:tc>
          <w:tcPr>
            <w:vAlign w:val="center"/>
          </w:tcPr>
          <w:p>
            <w:r>
              <w:t>0.5</w:t>
            </w:r>
          </w:p>
        </w:tc>
        <w:tc>
          <w:tcPr>
            <w:vAlign w:val="center"/>
          </w:tcPr>
          <w:p>
            <w:r>
              <w:t>29.0</w:t>
            </w:r>
          </w:p>
        </w:tc>
        <w:tc>
          <w:tcPr>
            <w:vAlign w:val="center"/>
          </w:tcPr>
          <w:p>
            <w:r>
              <w:t>6.4</w:t>
            </w:r>
          </w:p>
        </w:tc>
        <w:tc>
          <w:tcPr>
            <w:vAlign w:val="center"/>
          </w:tcPr>
          <w:p>
            <w:r>
              <w:t>29.3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29.76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2"/>
      </w:pPr>
      <w:bookmarkStart w:id="43" w:name="湿球黑球温度图片"/>
      <w:bookmarkEnd w:id="43"/>
      <w:bookmarkStart w:id="44" w:name="湿球黑球温度"/>
      <w:bookmarkEnd w:id="44"/>
      <w:bookmarkStart w:id="45" w:name="_Toc25001"/>
      <w:r>
        <w:rPr>
          <w:rFonts w:hint="eastAsia"/>
        </w:rPr>
        <w:t>结论</w:t>
      </w:r>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检查项</w:t>
            </w:r>
          </w:p>
        </w:tc>
        <w:tc>
          <w:tcPr>
            <w:shd w:val="clear" w:color="auto" w:fill="E6E6E6"/>
            <w:vAlign w:val="center"/>
          </w:tcPr>
          <w:p>
            <w:pPr>
              <w:jc w:val="center"/>
            </w:pPr>
            <w:r>
              <w:t>结论</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b/>
              </w:rPr>
              <w:t>强条</w:t>
            </w:r>
          </w:p>
        </w:tc>
        <w:tc>
          <w:tcPr>
            <w:vAlign w:val="center"/>
          </w:tcPr>
          <w:p>
            <w:r>
              <w:rPr>
                <w:b/>
              </w:rPr>
              <w:t>平均迎风面积比</w:t>
            </w:r>
          </w:p>
        </w:tc>
        <w:tc>
          <w:tcPr>
            <w:vAlign w:val="center"/>
          </w:tcPr>
          <w:p>
            <w:pPr>
              <w:rPr>
                <w:color w:val="auto"/>
              </w:rPr>
            </w:pPr>
            <w:r>
              <w:rPr>
                <w:b/>
                <w:color w:val="auto"/>
              </w:rPr>
              <w:t>满足</w:t>
            </w:r>
          </w:p>
        </w:tc>
        <w:tc>
          <w:tcPr>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rPr>
                <w:b/>
              </w:rPr>
              <w:t>活动场地遮阳覆盖率</w:t>
            </w:r>
          </w:p>
        </w:tc>
        <w:tc>
          <w:tcPr>
            <w:vAlign w:val="center"/>
          </w:tcPr>
          <w:p>
            <w:pPr>
              <w:rPr>
                <w:color w:val="auto"/>
              </w:rPr>
            </w:pPr>
            <w:r>
              <w:rPr>
                <w:b/>
                <w:color w:val="auto"/>
              </w:rP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规定性设计</w:t>
            </w:r>
          </w:p>
        </w:tc>
        <w:tc>
          <w:tcPr>
            <w:vAlign w:val="center"/>
          </w:tcPr>
          <w:p>
            <w:r>
              <w:t>底层通风架空率</w:t>
            </w:r>
          </w:p>
        </w:tc>
        <w:tc>
          <w:tcPr>
            <w:vAlign w:val="center"/>
          </w:tcPr>
          <w:p>
            <w:r>
              <w:rPr>
                <w:color w:val="FF0000"/>
              </w:rPr>
              <w:t>不满足</w:t>
            </w:r>
          </w:p>
        </w:tc>
        <w:tc>
          <w:tcPr>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绿化遮阳体叶面积指数</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渗透蒸发指标</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屋面绿化率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评价性设计</w:t>
            </w:r>
          </w:p>
        </w:tc>
        <w:tc>
          <w:tcPr>
            <w:vAlign w:val="center"/>
          </w:tcPr>
          <w:p>
            <w:r>
              <w:t>平均热岛强度</w:t>
            </w:r>
          </w:p>
        </w:tc>
        <w:tc>
          <w:tcPr>
            <w:vAlign w:val="center"/>
          </w:tcPr>
          <w:p>
            <w:pPr>
              <w:rPr>
                <w:color w:val="auto"/>
              </w:rPr>
            </w:pPr>
            <w:r>
              <w:rPr>
                <w:color w:val="auto"/>
              </w:rPr>
              <w:t>满足</w:t>
            </w:r>
          </w:p>
        </w:tc>
        <w:tc>
          <w:tcPr>
            <w:vMerge w:val="restart"/>
            <w:vAlign w:val="center"/>
          </w:tcPr>
          <w:p>
            <w:pPr>
              <w:rPr>
                <w:color w:val="auto"/>
              </w:rPr>
            </w:pPr>
            <w:r>
              <w:rPr>
                <w:color w:val="auto"/>
              </w:rP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湿球黑球温度</w:t>
            </w:r>
          </w:p>
        </w:tc>
        <w:tc>
          <w:tcPr>
            <w:vAlign w:val="center"/>
          </w:tcPr>
          <w:p>
            <w:pPr>
              <w:rPr>
                <w:color w:val="auto"/>
              </w:rPr>
            </w:pPr>
            <w:r>
              <w:rPr>
                <w:color w:val="auto"/>
              </w:rPr>
              <w:t>满足</w:t>
            </w:r>
          </w:p>
        </w:tc>
        <w:tc>
          <w:tcPr>
            <w:vMerge w:val="continue"/>
            <w:vAlign w:val="center"/>
          </w:tcPr>
          <w:p>
            <w:pP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gridSpan w:val="2"/>
            <w:vAlign w:val="center"/>
          </w:tcPr>
          <w:p>
            <w:pPr>
              <w:rPr>
                <w:color w:val="auto"/>
              </w:rPr>
            </w:pPr>
            <w:r>
              <w:rPr>
                <w:b/>
                <w:color w:val="auto"/>
              </w:rPr>
              <w:t>满足</w:t>
            </w:r>
          </w:p>
        </w:tc>
      </w:tr>
    </w:tbl>
    <w:p>
      <w:pPr>
        <w:pStyle w:val="3"/>
        <w:ind w:firstLine="420"/>
        <w:rPr>
          <w:lang w:val="en-US"/>
        </w:rPr>
      </w:pPr>
      <w:bookmarkStart w:id="46" w:name="结论"/>
      <w:bookmarkEnd w:id="46"/>
    </w:p>
    <w:bookmarkEnd w:id="47"/>
    <w:sectPr>
      <w:headerReference r:id="rId3" w:type="default"/>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A176D9"/>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 w:val="382D560C"/>
    <w:rsid w:val="47A176D9"/>
    <w:rsid w:val="588B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qFormat/>
    <w:uiPriority w:val="99"/>
    <w:rPr>
      <w:color w:val="0000FF"/>
      <w:u w:val="single"/>
    </w:rPr>
  </w:style>
  <w:style w:type="character" w:customStyle="1" w:styleId="25">
    <w:name w:val="font11"/>
    <w:basedOn w:val="21"/>
    <w:qFormat/>
    <w:uiPriority w:val="0"/>
    <w:rPr>
      <w:rFonts w:hint="default" w:ascii="Times New Roman" w:hAnsi="Times New Roman" w:cs="Times New Roman"/>
      <w:color w:val="000000"/>
      <w:sz w:val="21"/>
      <w:szCs w:val="21"/>
      <w:u w:val="none"/>
    </w:rPr>
  </w:style>
  <w:style w:type="character" w:customStyle="1" w:styleId="26">
    <w:name w:val="font21"/>
    <w:basedOn w:val="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bmp"/><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tmp29.dotx</Template>
  <Pages>12</Pages>
  <Words>2979</Words>
  <Characters>5399</Characters>
  <Lines>20</Lines>
  <Paragraphs>5</Paragraphs>
  <TotalTime>1</TotalTime>
  <ScaleCrop>false</ScaleCrop>
  <LinksUpToDate>false</LinksUpToDate>
  <CharactersWithSpaces>5460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2021-01-29T06:17:00Z</dcterms:created>
  <dc:creator>Administrator</dc:creator>
  <cp:lastModifiedBy>张举</cp:lastModifiedBy>
  <dcterms:modified xsi:type="dcterms:W3CDTF">2021-02-01T02:36:48Z</dcterms:modified>
  <dc:title>住区热环境设计报告书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