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安徽省铜陵市某新建住宅绿色建筑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安徽-铜陵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2021年12月20日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T15568606056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"_Toc90886007"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_Toc90886007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"_Toc90886008"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_Toc90886008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"_Toc90886009"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_Toc90886009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"_Toc90886010"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_Toc90886010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"_Toc90886011"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_Toc90886011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"_Toc90886012"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_Toc90886012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"_Toc90886013"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_Toc90886013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"_Toc90886014"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_Toc90886014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_Toc90886015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_Toc90886016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"_Toc90886017"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_Toc90886017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"_Toc90886018" </w:instrText>
      </w:r>
      <w:r>
        <w:fldChar w:fldCharType="separate"/>
      </w:r>
      <w:r>
        <w:rPr>
          <w:rStyle w:val="22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_Toc90886018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"_Toc90886019"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_Toc90886019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"_Toc90886020"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_Toc90886020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"_Toc90886021"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_Toc90886021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"_Toc90886022" </w:instrText>
      </w:r>
      <w:r>
        <w:fldChar w:fldCharType="separate"/>
      </w:r>
      <w:r>
        <w:rPr>
          <w:rStyle w:val="22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外墙构造一</w:t>
      </w:r>
      <w:r>
        <w:tab/>
      </w:r>
      <w:r>
        <w:fldChar w:fldCharType="begin"/>
      </w:r>
      <w:r>
        <w:instrText xml:space="preserve"> PAGEREF _Toc90886022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"_Toc90886023"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分户墙</w:t>
      </w:r>
      <w:r>
        <w:tab/>
      </w:r>
      <w:r>
        <w:fldChar w:fldCharType="begin"/>
      </w:r>
      <w:r>
        <w:instrText xml:space="preserve"> PAGEREF _Toc90886023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"_Toc90886024"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户间隔墙构造一</w:t>
      </w:r>
      <w:r>
        <w:tab/>
      </w:r>
      <w:r>
        <w:fldChar w:fldCharType="begin"/>
      </w:r>
      <w:r>
        <w:instrText xml:space="preserve"> PAGEREF _Toc90886024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"_Toc90886025"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楼梯间隔墙或封闭外走廊隔墙</w:t>
      </w:r>
      <w:r>
        <w:tab/>
      </w:r>
      <w:r>
        <w:fldChar w:fldCharType="begin"/>
      </w:r>
      <w:r>
        <w:instrText xml:space="preserve"> PAGEREF _Toc90886025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"_Toc90886026"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架空或外挑楼板</w:t>
      </w:r>
      <w:r>
        <w:tab/>
      </w:r>
      <w:r>
        <w:fldChar w:fldCharType="begin"/>
      </w:r>
      <w:r>
        <w:instrText xml:space="preserve"> PAGEREF _Toc90886026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"_Toc90886027"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楼板</w:t>
      </w:r>
      <w:r>
        <w:tab/>
      </w:r>
      <w:r>
        <w:fldChar w:fldCharType="begin"/>
      </w:r>
      <w:r>
        <w:instrText xml:space="preserve"> PAGEREF _Toc90886027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"_Toc90886028" </w:instrText>
      </w:r>
      <w:r>
        <w:fldChar w:fldCharType="separate"/>
      </w:r>
      <w:r>
        <w:rPr>
          <w:rStyle w:val="22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控温房间楼板构造一</w:t>
      </w:r>
      <w:r>
        <w:tab/>
      </w:r>
      <w:r>
        <w:fldChar w:fldCharType="begin"/>
      </w:r>
      <w:r>
        <w:instrText xml:space="preserve"> PAGEREF _Toc90886028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"_Toc90886029"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通往封闭空间的户门</w:t>
      </w:r>
      <w:r>
        <w:tab/>
      </w:r>
      <w:r>
        <w:fldChar w:fldCharType="begin"/>
      </w:r>
      <w:r>
        <w:instrText xml:space="preserve"> PAGEREF _Toc90886029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"_Toc90886030"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通往非封闭空间或户外的户门</w:t>
      </w:r>
      <w:r>
        <w:tab/>
      </w:r>
      <w:r>
        <w:fldChar w:fldCharType="begin"/>
      </w:r>
      <w:r>
        <w:instrText xml:space="preserve"> PAGEREF _Toc90886030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"_Toc90886031"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_Toc90886031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"_Toc90886032" </w:instrText>
      </w:r>
      <w:r>
        <w:fldChar w:fldCharType="separate"/>
      </w:r>
      <w:r>
        <w:rPr>
          <w:rStyle w:val="22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_Toc90886032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"_Toc90886033" </w:instrText>
      </w:r>
      <w:r>
        <w:fldChar w:fldCharType="separate"/>
      </w:r>
      <w:r>
        <w:rPr>
          <w:rStyle w:val="22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_Toc90886033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"_Toc90886034" </w:instrText>
      </w:r>
      <w:r>
        <w:fldChar w:fldCharType="separate"/>
      </w:r>
      <w:r>
        <w:rPr>
          <w:rStyle w:val="22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_Toc90886034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"_Toc90886035" </w:instrText>
      </w:r>
      <w:r>
        <w:fldChar w:fldCharType="separate"/>
      </w:r>
      <w:r>
        <w:rPr>
          <w:rStyle w:val="22"/>
          <w:lang w:val="en-GB"/>
        </w:rPr>
        <w:t>4.12.4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平均遮阳系数</w:t>
      </w:r>
      <w:r>
        <w:tab/>
      </w:r>
      <w:r>
        <w:fldChar w:fldCharType="begin"/>
      </w:r>
      <w:r>
        <w:instrText xml:space="preserve"> PAGEREF _Toc90886035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"_Toc90886036" </w:instrText>
      </w:r>
      <w:r>
        <w:fldChar w:fldCharType="separate"/>
      </w:r>
      <w:r>
        <w:rPr>
          <w:rStyle w:val="22"/>
          <w:lang w:val="en-GB"/>
        </w:rPr>
        <w:t>4.12.5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外窗遮阳系数</w:t>
      </w:r>
      <w:r>
        <w:tab/>
      </w:r>
      <w:r>
        <w:fldChar w:fldCharType="begin"/>
      </w:r>
      <w:r>
        <w:instrText xml:space="preserve"> PAGEREF _Toc90886036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"_Toc90886037"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凸窗透明部分</w:t>
      </w:r>
      <w:r>
        <w:tab/>
      </w:r>
      <w:r>
        <w:fldChar w:fldCharType="begin"/>
      </w:r>
      <w:r>
        <w:instrText xml:space="preserve"> PAGEREF _Toc90886037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"_Toc90886038"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_Toc90886038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"_Toc90886039"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_Toc90886039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"_Toc90886040"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_Toc90886040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"_Toc90886041"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_Toc90886041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"_Toc90886042"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_Toc90886042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"_Toc90886043"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_Toc90886043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"_Toc90886044"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_Toc90886044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"_Toc90886045" </w:instrText>
      </w:r>
      <w:r>
        <w:fldChar w:fldCharType="separate"/>
      </w:r>
      <w:r>
        <w:rPr>
          <w:rStyle w:val="22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_Toc90886045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"_Toc90886046"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_Toc90886046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"_Toc90886047"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多联机/单元式热泵能耗</w:t>
      </w:r>
      <w:r>
        <w:tab/>
      </w:r>
      <w:r>
        <w:fldChar w:fldCharType="begin"/>
      </w:r>
      <w:r>
        <w:instrText xml:space="preserve"> PAGEREF _Toc90886047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"_Toc90886048"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_Toc90886048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"_Toc90886049"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_Toc90886049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"_Toc90886050"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_Toc90886050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"_Toc90886051"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_Toc90886051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"_Toc90886052"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_Toc90886052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"_Toc90886053"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_Toc90886053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"_Toc90886054"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_Toc90886054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"_Toc90886055"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_Toc90886055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"_Toc90886056"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_Toc90886056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"_Toc90886057"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负荷分项统计</w:t>
      </w:r>
      <w:r>
        <w:tab/>
      </w:r>
      <w:r>
        <w:fldChar w:fldCharType="begin"/>
      </w:r>
      <w:r>
        <w:instrText xml:space="preserve"> PAGEREF _Toc90886057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"_Toc90886058"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逐月负荷表</w:t>
      </w:r>
      <w:r>
        <w:tab/>
      </w:r>
      <w:r>
        <w:fldChar w:fldCharType="begin"/>
      </w:r>
      <w:r>
        <w:instrText xml:space="preserve"> PAGEREF _Toc90886058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"_Toc90886059" </w:instrText>
      </w:r>
      <w:r>
        <w:fldChar w:fldCharType="separate"/>
      </w:r>
      <w:r>
        <w:rPr>
          <w:rStyle w:val="22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_Toc90886059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"_Toc90886060" </w:instrText>
      </w:r>
      <w:r>
        <w:fldChar w:fldCharType="separate"/>
      </w:r>
      <w:r>
        <w:rPr>
          <w:rStyle w:val="22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_Toc90886060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"_Toc90886061"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_Toc90886061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"_Toc90886062" </w:instrText>
      </w:r>
      <w:r>
        <w:fldChar w:fldCharType="separate"/>
      </w:r>
      <w:r>
        <w:rPr>
          <w:rStyle w:val="22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_Toc90886062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"_Toc90886063" </w:instrText>
      </w:r>
      <w:r>
        <w:fldChar w:fldCharType="separate"/>
      </w:r>
      <w:r>
        <w:rPr>
          <w:rStyle w:val="22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_Toc90886063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"_Toc90886064" </w:instrText>
      </w:r>
      <w:r>
        <w:fldChar w:fldCharType="separate"/>
      </w:r>
      <w:r>
        <w:rPr>
          <w:rStyle w:val="22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_Toc90886064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"_Toc90886065" </w:instrText>
      </w:r>
      <w:r>
        <w:fldChar w:fldCharType="separate"/>
      </w:r>
      <w:r>
        <w:rPr>
          <w:rStyle w:val="22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_Toc90886065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088600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安徽省铜陵市某新建住宅绿色建筑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安徽-铜陵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117.48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5544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17192.98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6250.00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0.36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0.77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1.13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天窗S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6" w:name="楼板K"/>
            <w:r>
              <w:rPr>
                <w:rFonts w:hint="eastAsia"/>
                <w:bCs/>
                <w:szCs w:val="21"/>
              </w:rPr>
              <w:t>2.98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7" w:name="分户墙K"/>
            <w:r>
              <w:rPr>
                <w:rFonts w:hint="eastAsia"/>
                <w:bCs/>
                <w:szCs w:val="21"/>
              </w:rPr>
              <w:t>1.93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8" w:name="窗墙比－南向"/>
            <w:r>
              <w:rPr>
                <w:rFonts w:hint="eastAsia"/>
                <w:bCs/>
                <w:szCs w:val="21"/>
              </w:rPr>
              <w:t>0.48</w:t>
            </w:r>
            <w:bookmarkEnd w:id="38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3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39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0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41" w:name="外窗SC－夏季－南向"/>
            <w:r>
              <w:rPr>
                <w:rFonts w:hint="eastAsia"/>
                <w:bCs/>
                <w:szCs w:val="21"/>
              </w:rPr>
              <w:t>0.75</w:t>
            </w:r>
            <w:bookmarkEnd w:id="41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2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3" w:name="外窗SC－冬季－南向"/>
            <w:r>
              <w:rPr>
                <w:rFonts w:hint="eastAsia"/>
                <w:bCs/>
                <w:szCs w:val="21"/>
              </w:rPr>
              <w:t>0.75</w:t>
            </w:r>
            <w:bookmarkEnd w:id="43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4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45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46" w:name="外窗K－北向"/>
            <w:r>
              <w:rPr>
                <w:rFonts w:hint="eastAsia"/>
                <w:bCs/>
                <w:szCs w:val="21"/>
              </w:rPr>
              <w:t>3.90</w:t>
            </w:r>
            <w:bookmarkEnd w:id="46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7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48" w:name="外窗SC－夏季－北向"/>
            <w:r>
              <w:rPr>
                <w:rFonts w:hint="eastAsia"/>
                <w:bCs/>
                <w:szCs w:val="21"/>
              </w:rPr>
              <w:t>0.75</w:t>
            </w:r>
            <w:bookmarkEnd w:id="48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49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50" w:name="外窗SC－冬季－北向"/>
            <w:r>
              <w:rPr>
                <w:rFonts w:hint="eastAsia"/>
                <w:bCs/>
                <w:szCs w:val="21"/>
              </w:rPr>
              <w:t>0.75</w:t>
            </w:r>
            <w:bookmarkEnd w:id="50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1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窗墙比－东向"/>
            <w:r>
              <w:rPr>
                <w:rFonts w:hint="eastAsia"/>
                <w:bCs/>
                <w:szCs w:val="21"/>
              </w:rPr>
              <w:t>0.05</w:t>
            </w:r>
            <w:bookmarkEnd w:id="52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53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53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4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5" w:name="外窗SC－夏季－东向"/>
            <w:r>
              <w:rPr>
                <w:rFonts w:hint="eastAsia"/>
                <w:bCs/>
                <w:szCs w:val="21"/>
              </w:rPr>
              <w:t>0.75</w:t>
            </w:r>
            <w:bookmarkEnd w:id="55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6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57" w:name="外窗SC－冬季－东向"/>
            <w:r>
              <w:rPr>
                <w:rFonts w:hint="eastAsia"/>
                <w:bCs/>
                <w:szCs w:val="21"/>
              </w:rPr>
              <w:t>0.75</w:t>
            </w:r>
            <w:bookmarkEnd w:id="57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58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窗墙比－西向"/>
            <w:r>
              <w:rPr>
                <w:rFonts w:hint="eastAsia"/>
                <w:bCs/>
                <w:szCs w:val="21"/>
              </w:rPr>
              <w:t>0.05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普窗</w:t>
            </w:r>
            <w:bookmarkStart w:id="6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29"/>
            <w:r>
              <w:rPr>
                <w:rFonts w:hint="eastAsia"/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西向"/>
            <w:r>
              <w:rPr>
                <w:rFonts w:hint="eastAsia"/>
                <w:bCs/>
                <w:szCs w:val="21"/>
              </w:rPr>
              <w:t>0.75</w:t>
            </w:r>
            <w:bookmarkEnd w:id="62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4" w:name="外窗SC－冬季－西向"/>
            <w:r>
              <w:rPr>
                <w:rFonts w:hint="eastAsia"/>
                <w:bCs/>
                <w:szCs w:val="21"/>
              </w:rPr>
              <w:t>0.75</w:t>
            </w:r>
            <w:bookmarkEnd w:id="64"/>
            <w:r>
              <w:rPr>
                <w:bCs/>
                <w:szCs w:val="21"/>
              </w:rPr>
              <w:t>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66" w:name="围护结构概况"/>
      <w:bookmarkEnd w:id="66"/>
    </w:p>
    <w:p>
      <w:pPr>
        <w:pStyle w:val="2"/>
      </w:pPr>
      <w:bookmarkStart w:id="67" w:name="_Toc90886008"/>
      <w:r>
        <w:rPr>
          <w:rFonts w:hint="eastAsia"/>
        </w:rPr>
        <w:t>计算依据</w:t>
      </w:r>
      <w:bookmarkEnd w:id="59"/>
      <w:bookmarkEnd w:id="60"/>
      <w:bookmarkEnd w:id="67"/>
    </w:p>
    <w:p>
      <w:pPr>
        <w:pStyle w:val="3"/>
        <w:ind w:firstLine="0" w:firstLineChars="0"/>
        <w:rPr>
          <w:lang w:val="en-US"/>
        </w:rPr>
      </w:pPr>
      <w:bookmarkStart w:id="68" w:name="计算依据"/>
      <w:bookmarkEnd w:id="68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《夏热冬冷地区居住建筑节能设计标准》（JGJ 134-2010）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69" w:name="_Toc90886009"/>
      <w:r>
        <w:rPr>
          <w:rFonts w:hint="eastAsia"/>
        </w:rPr>
        <w:t>气象数据</w:t>
      </w:r>
      <w:bookmarkEnd w:id="69"/>
    </w:p>
    <w:p>
      <w:pPr>
        <w:pStyle w:val="4"/>
      </w:pPr>
      <w:bookmarkStart w:id="70" w:name="_Toc90886010"/>
      <w:r>
        <w:rPr>
          <w:rFonts w:hint="eastAsia"/>
        </w:rPr>
        <w:t>气象地点</w:t>
      </w:r>
      <w:bookmarkEnd w:id="70"/>
    </w:p>
    <w:p>
      <w:pPr>
        <w:pStyle w:val="3"/>
        <w:ind w:firstLine="420"/>
        <w:rPr>
          <w:lang w:val="en-US"/>
        </w:rPr>
      </w:pPr>
      <w:bookmarkStart w:id="71" w:name="气象数据来源"/>
      <w:r>
        <w:t>安徽-桐城, 《中国建筑热环境分析专用气象数据集》</w:t>
      </w:r>
      <w:bookmarkEnd w:id="71"/>
    </w:p>
    <w:p>
      <w:pPr>
        <w:pStyle w:val="4"/>
      </w:pPr>
      <w:bookmarkStart w:id="72" w:name="_Toc90886011"/>
      <w:r>
        <w:rPr>
          <w:rFonts w:hint="eastAsia"/>
        </w:rPr>
        <w:t>逐日干球温度表</w:t>
      </w:r>
      <w:bookmarkEnd w:id="72"/>
    </w:p>
    <w:p>
      <w:pPr>
        <w:pStyle w:val="3"/>
        <w:ind w:firstLine="0" w:firstLineChars="0"/>
        <w:rPr>
          <w:lang w:val="en-US"/>
        </w:rPr>
      </w:pPr>
      <w:bookmarkStart w:id="73" w:name="日均干球温度变化表"/>
      <w:bookmarkEnd w:id="73"/>
      <w:r>
        <w:drawing>
          <wp:inline distT="0" distB="0" distL="0" distR="0">
            <wp:extent cx="5667375" cy="27717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4" w:name="_Toc90886012"/>
      <w:r>
        <w:rPr>
          <w:rFonts w:hint="eastAsia"/>
        </w:rPr>
        <w:t>逐月辐照量表</w:t>
      </w:r>
      <w:bookmarkEnd w:id="74"/>
    </w:p>
    <w:p>
      <w:pPr>
        <w:pStyle w:val="3"/>
        <w:ind w:firstLine="0" w:firstLineChars="0"/>
        <w:rPr>
          <w:lang w:val="en-US"/>
        </w:rPr>
      </w:pPr>
      <w:bookmarkStart w:id="75" w:name="逐月辐照量图表"/>
      <w:bookmarkEnd w:id="75"/>
      <w:r>
        <w:drawing>
          <wp:inline distT="0" distB="0" distL="0" distR="0">
            <wp:extent cx="5667375" cy="24860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6" w:name="_Toc90886013"/>
      <w:r>
        <w:rPr>
          <w:rFonts w:hint="eastAsia"/>
        </w:rPr>
        <w:t>峰值工况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07月20日13时</w:t>
            </w:r>
          </w:p>
        </w:tc>
        <w:tc>
          <w:tcPr>
            <w:tcW w:w="1556" w:type="dxa"/>
            <w:vAlign w:val="center"/>
          </w:tcPr>
          <w:p>
            <w:r>
              <w:t>36.7</w:t>
            </w:r>
          </w:p>
        </w:tc>
        <w:tc>
          <w:tcPr>
            <w:tcW w:w="1556" w:type="dxa"/>
            <w:vAlign w:val="center"/>
          </w:tcPr>
          <w:p>
            <w:r>
              <w:t>28.3</w:t>
            </w:r>
          </w:p>
        </w:tc>
        <w:tc>
          <w:tcPr>
            <w:tcW w:w="1556" w:type="dxa"/>
            <w:vAlign w:val="center"/>
          </w:tcPr>
          <w:p>
            <w:r>
              <w:t>20.9</w:t>
            </w:r>
          </w:p>
        </w:tc>
        <w:tc>
          <w:tcPr>
            <w:tcW w:w="1556" w:type="dxa"/>
            <w:vAlign w:val="center"/>
          </w:tcPr>
          <w:p>
            <w:r>
              <w:t>90.5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12月20日04时</w:t>
            </w:r>
          </w:p>
        </w:tc>
        <w:tc>
          <w:tcPr>
            <w:tcW w:w="1556" w:type="dxa"/>
            <w:vAlign w:val="center"/>
          </w:tcPr>
          <w:p>
            <w:r>
              <w:t>-4.4</w:t>
            </w:r>
          </w:p>
        </w:tc>
        <w:tc>
          <w:tcPr>
            <w:tcW w:w="1556" w:type="dxa"/>
            <w:vAlign w:val="center"/>
          </w:tcPr>
          <w:p>
            <w:r>
              <w:t>-5.6</w:t>
            </w:r>
          </w:p>
        </w:tc>
        <w:tc>
          <w:tcPr>
            <w:tcW w:w="1556" w:type="dxa"/>
            <w:vAlign w:val="center"/>
          </w:tcPr>
          <w:p>
            <w:r>
              <w:t>1.9</w:t>
            </w:r>
          </w:p>
        </w:tc>
        <w:tc>
          <w:tcPr>
            <w:tcW w:w="1556" w:type="dxa"/>
            <w:vAlign w:val="center"/>
          </w:tcPr>
          <w:p>
            <w:r>
              <w:t>0.3</w:t>
            </w:r>
          </w:p>
        </w:tc>
      </w:tr>
    </w:tbl>
    <w:p>
      <w:pPr>
        <w:pStyle w:val="2"/>
        <w:widowControl w:val="0"/>
        <w:jc w:val="both"/>
      </w:pPr>
      <w:bookmarkStart w:id="77" w:name="气象峰值工况"/>
      <w:bookmarkEnd w:id="77"/>
      <w:bookmarkStart w:id="78" w:name="_Toc90886014"/>
      <w:r>
        <w:t>围护结构</w:t>
      </w:r>
      <w:bookmarkEnd w:id="78"/>
    </w:p>
    <w:p>
      <w:pPr>
        <w:pStyle w:val="4"/>
        <w:widowControl w:val="0"/>
      </w:pPr>
      <w:bookmarkStart w:id="79" w:name="_Toc90886015"/>
      <w:r>
        <w:t>工程材料</w:t>
      </w:r>
      <w:bookmarkEnd w:id="7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80" w:name="_Toc90886016"/>
      <w:r>
        <w:t>体形系数</w:t>
      </w:r>
      <w:bookmarkEnd w:id="8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6250.00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17192.98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0.36</w:t>
            </w:r>
          </w:p>
        </w:tc>
      </w:tr>
    </w:tbl>
    <w:p>
      <w:pPr>
        <w:pStyle w:val="4"/>
        <w:widowControl w:val="0"/>
      </w:pPr>
      <w:bookmarkStart w:id="81" w:name="_Toc90886017"/>
      <w:r>
        <w:t>窗墙比</w:t>
      </w:r>
      <w:bookmarkEnd w:id="81"/>
    </w:p>
    <w:p>
      <w:pPr>
        <w:pStyle w:val="5"/>
        <w:widowControl w:val="0"/>
        <w:jc w:val="both"/>
      </w:pPr>
      <w:bookmarkStart w:id="82" w:name="_Toc90886018"/>
      <w:r>
        <w:t>窗墙比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377"/>
        <w:gridCol w:w="2377"/>
        <w:gridCol w:w="23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377" w:type="dxa"/>
            <w:vAlign w:val="center"/>
          </w:tcPr>
          <w:p>
            <w:r>
              <w:t>845.94</w:t>
            </w:r>
          </w:p>
        </w:tc>
        <w:tc>
          <w:tcPr>
            <w:tcW w:w="2377" w:type="dxa"/>
            <w:vAlign w:val="center"/>
          </w:tcPr>
          <w:p>
            <w:r>
              <w:t>1778.26</w:t>
            </w:r>
          </w:p>
        </w:tc>
        <w:tc>
          <w:tcPr>
            <w:tcW w:w="2377" w:type="dxa"/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377" w:type="dxa"/>
            <w:vAlign w:val="center"/>
          </w:tcPr>
          <w:p>
            <w:r>
              <w:t>497.56</w:t>
            </w:r>
          </w:p>
        </w:tc>
        <w:tc>
          <w:tcPr>
            <w:tcW w:w="2377" w:type="dxa"/>
            <w:vAlign w:val="center"/>
          </w:tcPr>
          <w:p>
            <w:r>
              <w:t>1778.26</w:t>
            </w:r>
          </w:p>
        </w:tc>
        <w:tc>
          <w:tcPr>
            <w:tcW w:w="2377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377" w:type="dxa"/>
            <w:vAlign w:val="center"/>
          </w:tcPr>
          <w:p>
            <w:r>
              <w:t>49.50</w:t>
            </w:r>
          </w:p>
        </w:tc>
        <w:tc>
          <w:tcPr>
            <w:tcW w:w="2377" w:type="dxa"/>
            <w:vAlign w:val="center"/>
          </w:tcPr>
          <w:p>
            <w:r>
              <w:t>1012.44</w:t>
            </w:r>
          </w:p>
        </w:tc>
        <w:tc>
          <w:tcPr>
            <w:tcW w:w="2377" w:type="dxa"/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377" w:type="dxa"/>
            <w:vAlign w:val="center"/>
          </w:tcPr>
          <w:p>
            <w:r>
              <w:t>49.50</w:t>
            </w:r>
          </w:p>
        </w:tc>
        <w:tc>
          <w:tcPr>
            <w:tcW w:w="2377" w:type="dxa"/>
            <w:vAlign w:val="center"/>
          </w:tcPr>
          <w:p>
            <w:r>
              <w:t>1012.44</w:t>
            </w:r>
          </w:p>
        </w:tc>
        <w:tc>
          <w:tcPr>
            <w:tcW w:w="2377" w:type="dxa"/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2377" w:type="dxa"/>
            <w:vAlign w:val="center"/>
          </w:tcPr>
          <w:p>
            <w:r>
              <w:t>1442.50</w:t>
            </w:r>
          </w:p>
        </w:tc>
        <w:tc>
          <w:tcPr>
            <w:tcW w:w="2377" w:type="dxa"/>
            <w:vAlign w:val="center"/>
          </w:tcPr>
          <w:p>
            <w:r>
              <w:t>5581.40</w:t>
            </w:r>
          </w:p>
        </w:tc>
        <w:tc>
          <w:tcPr>
            <w:tcW w:w="2377" w:type="dxa"/>
            <w:vAlign w:val="center"/>
          </w:tcPr>
          <w:p>
            <w:r>
              <w:t>0.26</w:t>
            </w:r>
          </w:p>
        </w:tc>
      </w:tr>
    </w:tbl>
    <w:p>
      <w:pPr>
        <w:pStyle w:val="4"/>
        <w:widowControl w:val="0"/>
      </w:pPr>
      <w:bookmarkStart w:id="83" w:name="_Toc90886019"/>
      <w:r>
        <w:t>屋顶构造</w:t>
      </w:r>
      <w:bookmarkEnd w:id="83"/>
    </w:p>
    <w:p>
      <w:pPr>
        <w:pStyle w:val="5"/>
        <w:widowControl w:val="0"/>
        <w:jc w:val="both"/>
      </w:pPr>
      <w:bookmarkStart w:id="84" w:name="_Toc90886020"/>
      <w:r>
        <w:t>屋顶构造一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</w:pPr>
    </w:p>
    <w:p>
      <w:pPr>
        <w:pStyle w:val="4"/>
        <w:widowControl w:val="0"/>
      </w:pPr>
      <w:bookmarkStart w:id="85" w:name="_Toc90886021"/>
      <w:r>
        <w:t>外墙构造</w:t>
      </w:r>
      <w:bookmarkEnd w:id="85"/>
    </w:p>
    <w:p>
      <w:pPr>
        <w:pStyle w:val="5"/>
        <w:widowControl w:val="0"/>
        <w:jc w:val="both"/>
      </w:pPr>
      <w:bookmarkStart w:id="86" w:name="_Toc90886022"/>
      <w:r>
        <w:t>外墙构造一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widowControl w:val="0"/>
        <w:jc w:val="both"/>
      </w:pPr>
    </w:p>
    <w:p>
      <w:pPr>
        <w:pStyle w:val="4"/>
        <w:widowControl w:val="0"/>
      </w:pPr>
      <w:bookmarkStart w:id="87" w:name="_Toc90886023"/>
      <w:r>
        <w:t>分户墙</w:t>
      </w:r>
      <w:bookmarkEnd w:id="87"/>
    </w:p>
    <w:p>
      <w:pPr>
        <w:pStyle w:val="5"/>
        <w:widowControl w:val="0"/>
        <w:jc w:val="both"/>
      </w:pPr>
      <w:bookmarkStart w:id="88" w:name="_Toc90886024"/>
      <w:r>
        <w:t>户间隔墙构造一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</w:pPr>
    </w:p>
    <w:p>
      <w:pPr>
        <w:pStyle w:val="4"/>
        <w:widowControl w:val="0"/>
      </w:pPr>
      <w:bookmarkStart w:id="89" w:name="_Toc90886025"/>
      <w:r>
        <w:t>楼梯间隔墙或封闭外走廊隔墙</w:t>
      </w:r>
      <w:bookmarkEnd w:id="89"/>
    </w:p>
    <w:p>
      <w:pPr>
        <w:widowControl w:val="0"/>
        <w:jc w:val="both"/>
      </w:pPr>
      <w:r>
        <w:t>本工程无此项内容</w:t>
      </w:r>
    </w:p>
    <w:p>
      <w:pPr>
        <w:pStyle w:val="4"/>
        <w:widowControl w:val="0"/>
      </w:pPr>
      <w:bookmarkStart w:id="90" w:name="_Toc90886026"/>
      <w:r>
        <w:t>架空或外挑楼板</w:t>
      </w:r>
      <w:bookmarkEnd w:id="90"/>
    </w:p>
    <w:p>
      <w:pPr>
        <w:widowControl w:val="0"/>
        <w:jc w:val="both"/>
      </w:pPr>
      <w:r>
        <w:t>本工程无此项内容</w:t>
      </w:r>
    </w:p>
    <w:p>
      <w:pPr>
        <w:pStyle w:val="4"/>
        <w:widowControl w:val="0"/>
      </w:pPr>
      <w:bookmarkStart w:id="91" w:name="_Toc90886027"/>
      <w:r>
        <w:t>楼板</w:t>
      </w:r>
      <w:bookmarkEnd w:id="91"/>
    </w:p>
    <w:p>
      <w:pPr>
        <w:pStyle w:val="5"/>
        <w:widowControl w:val="0"/>
        <w:jc w:val="both"/>
      </w:pPr>
      <w:bookmarkStart w:id="92" w:name="_Toc90886028"/>
      <w:r>
        <w:t>控温房间楼板构造一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widowControl w:val="0"/>
        <w:jc w:val="both"/>
      </w:pPr>
    </w:p>
    <w:p>
      <w:pPr>
        <w:pStyle w:val="4"/>
        <w:widowControl w:val="0"/>
      </w:pPr>
      <w:bookmarkStart w:id="93" w:name="_Toc90886029"/>
      <w:r>
        <w:t>通往封闭空间的户门</w:t>
      </w:r>
      <w:bookmarkEnd w:id="93"/>
    </w:p>
    <w:p>
      <w:pPr>
        <w:widowControl w:val="0"/>
        <w:jc w:val="both"/>
      </w:pPr>
    </w:p>
    <w:p>
      <w:r>
        <w:t>本工程无此项内容</w:t>
      </w:r>
    </w:p>
    <w:p>
      <w:pPr>
        <w:pStyle w:val="4"/>
      </w:pPr>
      <w:bookmarkStart w:id="94" w:name="_Toc90886030"/>
      <w:r>
        <w:t>通往非封闭空间或户外的户门</w:t>
      </w:r>
      <w:bookmarkEnd w:id="94"/>
    </w:p>
    <w:p/>
    <w:p>
      <w:r>
        <w:t>本工程无此项内容</w:t>
      </w:r>
    </w:p>
    <w:p>
      <w:pPr>
        <w:pStyle w:val="4"/>
      </w:pPr>
      <w:bookmarkStart w:id="95" w:name="_Toc90886031"/>
      <w:r>
        <w:t>外窗热工</w:t>
      </w:r>
      <w:bookmarkEnd w:id="95"/>
    </w:p>
    <w:p>
      <w:pPr>
        <w:pStyle w:val="5"/>
      </w:pPr>
      <w:bookmarkStart w:id="96" w:name="_Toc90886032"/>
      <w:r>
        <w:t>外窗构造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bookmarkStart w:id="97" w:name="_Toc90886033"/>
      <w:r>
        <w:t>总体热工性能</w:t>
      </w:r>
      <w:bookmarkEnd w:id="9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4"/>
        <w:gridCol w:w="2010"/>
        <w:gridCol w:w="203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3019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2.50</w:t>
            </w:r>
          </w:p>
        </w:tc>
        <w:tc>
          <w:tcPr>
            <w:tcW w:w="1018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1013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4.70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1019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4.70</w:t>
            </w:r>
          </w:p>
        </w:tc>
        <w:tc>
          <w:tcPr>
            <w:tcW w:w="1018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1026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1039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1046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3029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3037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3038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3039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3040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3045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3046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4.00</w:t>
            </w:r>
          </w:p>
        </w:tc>
        <w:tc>
          <w:tcPr>
            <w:tcW w:w="1018" w:type="dxa"/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3006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1004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/>
        </w:tc>
        <w:tc>
          <w:tcPr>
            <w:tcW w:w="1301" w:type="dxa"/>
            <w:vAlign w:val="center"/>
          </w:tcPr>
          <w:p>
            <w:r>
              <w:t>3004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3.90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</w:tbl>
    <w:p>
      <w:pPr>
        <w:pStyle w:val="5"/>
      </w:pPr>
      <w:bookmarkStart w:id="98" w:name="_Toc90886034"/>
      <w:r>
        <w:t>外遮阳类型</w:t>
      </w:r>
      <w:bookmarkEnd w:id="98"/>
    </w:p>
    <w:p>
      <w:r>
        <w:t>本工程无此内容</w:t>
      </w:r>
    </w:p>
    <w:p>
      <w:pPr>
        <w:pStyle w:val="5"/>
      </w:pPr>
      <w:bookmarkStart w:id="99" w:name="_Toc90886035"/>
      <w:r>
        <w:t>平均遮阳系数</w:t>
      </w:r>
      <w:bookmarkEnd w:id="99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BYC1322</w:t>
            </w:r>
          </w:p>
        </w:tc>
        <w:tc>
          <w:tcPr>
            <w:tcW w:w="769" w:type="dxa"/>
            <w:vAlign w:val="center"/>
          </w:tcPr>
          <w:p>
            <w:r>
              <w:t>2~11</w:t>
            </w:r>
          </w:p>
        </w:tc>
        <w:tc>
          <w:tcPr>
            <w:tcW w:w="769" w:type="dxa"/>
            <w:vAlign w:val="center"/>
          </w:tcPr>
          <w:p>
            <w:r>
              <w:t>20</w:t>
            </w:r>
          </w:p>
        </w:tc>
        <w:tc>
          <w:tcPr>
            <w:tcW w:w="848" w:type="dxa"/>
            <w:vAlign w:val="center"/>
          </w:tcPr>
          <w:p>
            <w:r>
              <w:t>2.925</w:t>
            </w:r>
          </w:p>
        </w:tc>
        <w:tc>
          <w:tcPr>
            <w:tcW w:w="848" w:type="dxa"/>
            <w:vAlign w:val="center"/>
          </w:tcPr>
          <w:p>
            <w:r>
              <w:t>58.500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C1022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2.200</w:t>
            </w:r>
          </w:p>
        </w:tc>
        <w:tc>
          <w:tcPr>
            <w:tcW w:w="848" w:type="dxa"/>
            <w:vAlign w:val="center"/>
          </w:tcPr>
          <w:p>
            <w:r>
              <w:t>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42</w:t>
            </w:r>
          </w:p>
        </w:tc>
        <w:tc>
          <w:tcPr>
            <w:tcW w:w="848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109.620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C2317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4.025</w:t>
            </w:r>
          </w:p>
        </w:tc>
        <w:tc>
          <w:tcPr>
            <w:tcW w:w="848" w:type="dxa"/>
            <w:vAlign w:val="center"/>
          </w:tcPr>
          <w:p>
            <w:r>
              <w:t>177.100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C2724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6.345</w:t>
            </w:r>
          </w:p>
        </w:tc>
        <w:tc>
          <w:tcPr>
            <w:tcW w:w="848" w:type="dxa"/>
            <w:vAlign w:val="center"/>
          </w:tcPr>
          <w:p>
            <w:r>
              <w:t>279.180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TLM2124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4.935</w:t>
            </w:r>
          </w:p>
        </w:tc>
        <w:tc>
          <w:tcPr>
            <w:tcW w:w="848" w:type="dxa"/>
            <w:vAlign w:val="center"/>
          </w:tcPr>
          <w:p>
            <w:r>
              <w:t>217.140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845.940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1.305</w:t>
            </w:r>
          </w:p>
        </w:tc>
        <w:tc>
          <w:tcPr>
            <w:tcW w:w="848" w:type="dxa"/>
            <w:vAlign w:val="center"/>
          </w:tcPr>
          <w:p>
            <w:r>
              <w:t>57.420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C1015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88</w:t>
            </w:r>
          </w:p>
        </w:tc>
        <w:tc>
          <w:tcPr>
            <w:tcW w:w="848" w:type="dxa"/>
            <w:vAlign w:val="center"/>
          </w:tcPr>
          <w:p>
            <w:r>
              <w:t>1.450</w:t>
            </w:r>
          </w:p>
        </w:tc>
        <w:tc>
          <w:tcPr>
            <w:tcW w:w="848" w:type="dxa"/>
            <w:vAlign w:val="center"/>
          </w:tcPr>
          <w:p>
            <w:r>
              <w:t>127.600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2~11</w:t>
            </w:r>
          </w:p>
        </w:tc>
        <w:tc>
          <w:tcPr>
            <w:tcW w:w="769" w:type="dxa"/>
            <w:vAlign w:val="center"/>
          </w:tcPr>
          <w:p>
            <w:r>
              <w:t>20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114.840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C2117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44</w:t>
            </w:r>
          </w:p>
        </w:tc>
        <w:tc>
          <w:tcPr>
            <w:tcW w:w="848" w:type="dxa"/>
            <w:vAlign w:val="center"/>
          </w:tcPr>
          <w:p>
            <w:r>
              <w:t>3.675</w:t>
            </w:r>
          </w:p>
        </w:tc>
        <w:tc>
          <w:tcPr>
            <w:tcW w:w="848" w:type="dxa"/>
            <w:vAlign w:val="center"/>
          </w:tcPr>
          <w:p>
            <w:r>
              <w:t>161.700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497.560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</w:tr>
    </w:tbl>
    <w:p/>
    <w:p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BYC1023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22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49.500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49.500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</w:tr>
    </w:tbl>
    <w:p/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BYC1023</w:t>
            </w:r>
          </w:p>
        </w:tc>
        <w:tc>
          <w:tcPr>
            <w:tcW w:w="769" w:type="dxa"/>
            <w:vAlign w:val="center"/>
          </w:tcPr>
          <w:p>
            <w:r>
              <w:t>1~11</w:t>
            </w:r>
          </w:p>
        </w:tc>
        <w:tc>
          <w:tcPr>
            <w:tcW w:w="769" w:type="dxa"/>
            <w:vAlign w:val="center"/>
          </w:tcPr>
          <w:p>
            <w:r>
              <w:t>22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49.500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49.500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</w:tr>
    </w:tbl>
    <w:p/>
    <w:p>
      <w:r>
        <w:t>5. 平均遮阳系数：</w:t>
      </w:r>
    </w:p>
    <w:p>
      <w:r>
        <w:drawing>
          <wp:inline distT="0" distB="0" distL="0" distR="0">
            <wp:extent cx="4086225" cy="457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697" w:type="dxa"/>
            <w:vAlign w:val="center"/>
          </w:tcPr>
          <w:p>
            <w:r>
              <w:t>845.940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697" w:type="dxa"/>
            <w:vAlign w:val="center"/>
          </w:tcPr>
          <w:p>
            <w:r>
              <w:t>497.560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697" w:type="dxa"/>
            <w:vAlign w:val="center"/>
          </w:tcPr>
          <w:p>
            <w:r>
              <w:t>49.500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697" w:type="dxa"/>
            <w:vAlign w:val="center"/>
          </w:tcPr>
          <w:p>
            <w:r>
              <w:t>49.500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  <w:tc>
          <w:tcPr>
            <w:tcW w:w="1980" w:type="dxa"/>
            <w:vAlign w:val="center"/>
          </w:tcPr>
          <w:p>
            <w:r>
              <w:t>0.750</w:t>
            </w:r>
          </w:p>
        </w:tc>
      </w:tr>
    </w:tbl>
    <w:p>
      <w:pPr>
        <w:pStyle w:val="5"/>
      </w:pPr>
      <w:bookmarkStart w:id="100" w:name="_Toc90886036"/>
      <w:r>
        <w:t>外窗遮阳系数</w:t>
      </w:r>
      <w:bookmarkEnd w:id="10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4"/>
        <w:gridCol w:w="2010"/>
        <w:gridCol w:w="203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1002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0.75</w:t>
            </w:r>
          </w:p>
        </w:tc>
        <w:tc>
          <w:tcPr>
            <w:tcW w:w="2037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东向</w:t>
            </w:r>
          </w:p>
        </w:tc>
        <w:tc>
          <w:tcPr>
            <w:tcW w:w="1301" w:type="dxa"/>
            <w:vAlign w:val="center"/>
          </w:tcPr>
          <w:p>
            <w:r>
              <w:t>1003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0.75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西向</w:t>
            </w:r>
          </w:p>
        </w:tc>
        <w:tc>
          <w:tcPr>
            <w:tcW w:w="1301" w:type="dxa"/>
            <w:vAlign w:val="center"/>
          </w:tcPr>
          <w:p>
            <w:r>
              <w:t>1001</w:t>
            </w:r>
          </w:p>
        </w:tc>
        <w:tc>
          <w:tcPr>
            <w:tcW w:w="2173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0.75</w:t>
            </w:r>
          </w:p>
        </w:tc>
        <w:tc>
          <w:tcPr>
            <w:tcW w:w="2037" w:type="dxa"/>
            <w:vAlign w:val="center"/>
          </w:tcPr>
          <w:p>
            <w:r>
              <w:t>无对应限值</w:t>
            </w:r>
          </w:p>
        </w:tc>
        <w:tc>
          <w:tcPr>
            <w:tcW w:w="1018" w:type="dxa"/>
            <w:vAlign w:val="center"/>
          </w:tcPr>
          <w:p>
            <w:r>
              <w:t>0.64</w:t>
            </w:r>
          </w:p>
        </w:tc>
      </w:tr>
    </w:tbl>
    <w:p>
      <w:pPr>
        <w:pStyle w:val="4"/>
      </w:pPr>
      <w:bookmarkStart w:id="101" w:name="_Toc90886037"/>
      <w:r>
        <w:t>凸窗透明部分</w:t>
      </w:r>
      <w:bookmarkEnd w:id="101"/>
    </w:p>
    <w:p/>
    <w:p>
      <w:r>
        <w:t>本工程无此项内容</w:t>
      </w:r>
    </w:p>
    <w:p>
      <w:pPr>
        <w:pStyle w:val="4"/>
      </w:pPr>
      <w:bookmarkStart w:id="102" w:name="_Toc90886038"/>
      <w:r>
        <w:t>凸窗板</w:t>
      </w:r>
      <w:bookmarkEnd w:id="102"/>
    </w:p>
    <w:p>
      <w:r>
        <w:t>本工程无此项内容</w:t>
      </w:r>
    </w:p>
    <w:p>
      <w:pPr>
        <w:pStyle w:val="2"/>
      </w:pPr>
      <w:bookmarkStart w:id="103" w:name="_Toc90886039"/>
      <w:r>
        <w:t>房间类型</w:t>
      </w:r>
      <w:bookmarkEnd w:id="103"/>
    </w:p>
    <w:p>
      <w:pPr>
        <w:pStyle w:val="4"/>
      </w:pPr>
      <w:bookmarkStart w:id="104" w:name="_Toc90886040"/>
      <w:r>
        <w:t>房间表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</w:pPr>
      <w:bookmarkStart w:id="105" w:name="_Toc90886041"/>
      <w:r>
        <w:t>作息时间表</w:t>
      </w:r>
      <w:bookmarkEnd w:id="105"/>
    </w:p>
    <w:p>
      <w:r>
        <w:t>详见附录</w:t>
      </w:r>
    </w:p>
    <w:p>
      <w:pPr>
        <w:pStyle w:val="2"/>
      </w:pPr>
      <w:bookmarkStart w:id="106" w:name="_Toc90886042"/>
      <w:r>
        <w:t>暖通空调系统</w:t>
      </w:r>
      <w:bookmarkEnd w:id="106"/>
    </w:p>
    <w:p>
      <w:pPr>
        <w:pStyle w:val="4"/>
      </w:pPr>
      <w:bookmarkStart w:id="107" w:name="_Toc90886043"/>
      <w:r>
        <w:t>系统类型</w:t>
      </w:r>
      <w:bookmarkEnd w:id="10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848" w:type="dxa"/>
            <w:vAlign w:val="center"/>
          </w:tcPr>
          <w:p>
            <w:r>
              <w:t>2.30</w:t>
            </w:r>
          </w:p>
        </w:tc>
        <w:tc>
          <w:tcPr>
            <w:tcW w:w="848" w:type="dxa"/>
            <w:vAlign w:val="center"/>
          </w:tcPr>
          <w:p>
            <w:r>
              <w:t>1.90</w:t>
            </w:r>
          </w:p>
        </w:tc>
        <w:tc>
          <w:tcPr>
            <w:tcW w:w="905" w:type="dxa"/>
            <w:vAlign w:val="center"/>
          </w:tcPr>
          <w:p>
            <w:r>
              <w:t>4850.04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</w:pPr>
      <w:bookmarkStart w:id="108" w:name="_Toc90886044"/>
      <w:r>
        <w:t>制冷系统</w:t>
      </w:r>
      <w:bookmarkEnd w:id="108"/>
    </w:p>
    <w:p>
      <w:pPr>
        <w:pStyle w:val="5"/>
      </w:pPr>
      <w:bookmarkStart w:id="109" w:name="_Toc90886045"/>
      <w:r>
        <w:t>多联机/单元式空调能耗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2.30</w:t>
            </w:r>
          </w:p>
        </w:tc>
        <w:tc>
          <w:tcPr>
            <w:tcW w:w="2473" w:type="dxa"/>
            <w:vAlign w:val="center"/>
          </w:tcPr>
          <w:p>
            <w:r>
              <w:t>367607</w:t>
            </w:r>
          </w:p>
        </w:tc>
        <w:tc>
          <w:tcPr>
            <w:tcW w:w="2473" w:type="dxa"/>
            <w:vAlign w:val="center"/>
          </w:tcPr>
          <w:p>
            <w:r>
              <w:t>159829</w:t>
            </w:r>
          </w:p>
        </w:tc>
      </w:tr>
    </w:tbl>
    <w:p>
      <w:pPr>
        <w:pStyle w:val="4"/>
      </w:pPr>
      <w:bookmarkStart w:id="110" w:name="_Toc90886046"/>
      <w:r>
        <w:t>供暖系统</w:t>
      </w:r>
      <w:bookmarkEnd w:id="110"/>
    </w:p>
    <w:p>
      <w:pPr>
        <w:pStyle w:val="5"/>
      </w:pPr>
      <w:bookmarkStart w:id="111" w:name="_Toc90886047"/>
      <w:r>
        <w:t>多联机/单元式热泵能耗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1.90</w:t>
            </w:r>
          </w:p>
        </w:tc>
        <w:tc>
          <w:tcPr>
            <w:tcW w:w="2473" w:type="dxa"/>
            <w:vAlign w:val="center"/>
          </w:tcPr>
          <w:p>
            <w:r>
              <w:t>299013</w:t>
            </w:r>
          </w:p>
        </w:tc>
        <w:tc>
          <w:tcPr>
            <w:tcW w:w="2473" w:type="dxa"/>
            <w:vAlign w:val="center"/>
          </w:tcPr>
          <w:p>
            <w:r>
              <w:t>157375</w:t>
            </w:r>
          </w:p>
        </w:tc>
      </w:tr>
    </w:tbl>
    <w:p>
      <w:pPr>
        <w:pStyle w:val="4"/>
      </w:pPr>
      <w:bookmarkStart w:id="112" w:name="_Toc90886048"/>
      <w:r>
        <w:t>空调风机</w:t>
      </w:r>
      <w:bookmarkEnd w:id="112"/>
    </w:p>
    <w:p>
      <w:pPr>
        <w:pStyle w:val="5"/>
      </w:pPr>
      <w:bookmarkStart w:id="113" w:name="_Toc90886049"/>
      <w:r>
        <w:t>独立新排风</w:t>
      </w:r>
      <w:bookmarkEnd w:id="11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8321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1997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17494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17494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6657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1598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13995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13995</w:t>
            </w:r>
          </w:p>
        </w:tc>
      </w:tr>
    </w:tbl>
    <w:p>
      <w:pPr>
        <w:pStyle w:val="2"/>
      </w:pPr>
      <w:bookmarkStart w:id="114" w:name="_Toc90886050"/>
      <w:r>
        <w:t>照明</w:t>
      </w:r>
      <w:bookmarkEnd w:id="11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起居室</w:t>
            </w:r>
          </w:p>
        </w:tc>
        <w:tc>
          <w:tcPr>
            <w:tcW w:w="1697" w:type="dxa"/>
            <w:vAlign w:val="center"/>
          </w:tcPr>
          <w:p>
            <w:r>
              <w:t>12.05</w:t>
            </w:r>
          </w:p>
        </w:tc>
        <w:tc>
          <w:tcPr>
            <w:tcW w:w="1131" w:type="dxa"/>
            <w:vAlign w:val="center"/>
          </w:tcPr>
          <w:p>
            <w:r>
              <w:t>592</w:t>
            </w:r>
          </w:p>
        </w:tc>
        <w:tc>
          <w:tcPr>
            <w:tcW w:w="1522" w:type="dxa"/>
            <w:vAlign w:val="center"/>
          </w:tcPr>
          <w:p>
            <w:r>
              <w:t>5361</w:t>
            </w:r>
          </w:p>
        </w:tc>
        <w:tc>
          <w:tcPr>
            <w:tcW w:w="1862" w:type="dxa"/>
            <w:vAlign w:val="center"/>
          </w:tcPr>
          <w:p>
            <w:r>
              <w:t>64569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64569</w:t>
            </w:r>
          </w:p>
        </w:tc>
      </w:tr>
    </w:tbl>
    <w:p>
      <w:pPr>
        <w:pStyle w:val="2"/>
      </w:pPr>
      <w:bookmarkStart w:id="115" w:name="_Toc90886051"/>
      <w:r>
        <w:t>插座设备</w:t>
      </w:r>
      <w:bookmarkEnd w:id="11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起居室</w:t>
            </w:r>
          </w:p>
        </w:tc>
        <w:tc>
          <w:tcPr>
            <w:tcW w:w="1697" w:type="dxa"/>
            <w:vAlign w:val="center"/>
          </w:tcPr>
          <w:p>
            <w:r>
              <w:t>18.21</w:t>
            </w:r>
          </w:p>
        </w:tc>
        <w:tc>
          <w:tcPr>
            <w:tcW w:w="1131" w:type="dxa"/>
            <w:vAlign w:val="center"/>
          </w:tcPr>
          <w:p>
            <w:r>
              <w:t>592</w:t>
            </w:r>
          </w:p>
        </w:tc>
        <w:tc>
          <w:tcPr>
            <w:tcW w:w="1522" w:type="dxa"/>
            <w:vAlign w:val="center"/>
          </w:tcPr>
          <w:p>
            <w:r>
              <w:t>5361</w:t>
            </w:r>
          </w:p>
        </w:tc>
        <w:tc>
          <w:tcPr>
            <w:tcW w:w="1862" w:type="dxa"/>
            <w:vAlign w:val="center"/>
          </w:tcPr>
          <w:p>
            <w:r>
              <w:t>97636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97636</w:t>
            </w:r>
          </w:p>
        </w:tc>
      </w:tr>
    </w:tbl>
    <w:p>
      <w:pPr>
        <w:pStyle w:val="2"/>
      </w:pPr>
      <w:bookmarkStart w:id="116" w:name="_Toc90886052"/>
      <w:r>
        <w:t>排风机</w:t>
      </w:r>
      <w:bookmarkEnd w:id="11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r>
        <w:t>注：此类风机指非空调区域排风机</w:t>
      </w:r>
    </w:p>
    <w:p>
      <w:pPr>
        <w:pStyle w:val="2"/>
      </w:pPr>
      <w:bookmarkStart w:id="117" w:name="_Toc90886053"/>
      <w:r>
        <w:t>生活热水</w:t>
      </w:r>
      <w:bookmarkEnd w:id="117"/>
    </w:p>
    <w:p>
      <w:r>
        <w:t>热水温差(℃)：45,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365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0</w:t>
            </w:r>
          </w:p>
        </w:tc>
      </w:tr>
    </w:tbl>
    <w:p>
      <w:pPr>
        <w:pStyle w:val="2"/>
      </w:pPr>
      <w:bookmarkStart w:id="118" w:name="_Toc90886054"/>
      <w:r>
        <w:t>电梯</w:t>
      </w:r>
      <w:bookmarkEnd w:id="118"/>
    </w:p>
    <w:p>
      <w:r>
        <w:t>无</w:t>
      </w:r>
    </w:p>
    <w:p>
      <w:pPr>
        <w:pStyle w:val="2"/>
      </w:pPr>
      <w:bookmarkStart w:id="119" w:name="_Toc90886055"/>
      <w:r>
        <w:t>光伏发电</w:t>
      </w:r>
      <w:bookmarkEnd w:id="119"/>
    </w:p>
    <w:p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</w:tbl>
    <w:p>
      <w:pPr>
        <w:pStyle w:val="2"/>
      </w:pPr>
      <w:bookmarkStart w:id="120" w:name="_Toc90886056"/>
      <w:r>
        <w:t>计算结果</w:t>
      </w:r>
      <w:bookmarkEnd w:id="120"/>
    </w:p>
    <w:p>
      <w:pPr>
        <w:pStyle w:val="4"/>
      </w:pPr>
      <w:bookmarkStart w:id="121" w:name="_Toc90886057"/>
      <w:r>
        <w:t>负荷分项统计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-63.40</w:t>
            </w:r>
          </w:p>
        </w:tc>
        <w:tc>
          <w:tcPr>
            <w:tcW w:w="1273" w:type="dxa"/>
            <w:vAlign w:val="center"/>
          </w:tcPr>
          <w:p>
            <w:r>
              <w:t>8.59</w:t>
            </w:r>
          </w:p>
        </w:tc>
        <w:tc>
          <w:tcPr>
            <w:tcW w:w="1131" w:type="dxa"/>
            <w:vAlign w:val="center"/>
          </w:tcPr>
          <w:p>
            <w:r>
              <w:t>12.33</w:t>
            </w:r>
          </w:p>
        </w:tc>
        <w:tc>
          <w:tcPr>
            <w:tcW w:w="1131" w:type="dxa"/>
            <w:vAlign w:val="center"/>
          </w:tcPr>
          <w:p>
            <w:r>
              <w:t>-11.47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-53.94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8.73</w:t>
            </w:r>
          </w:p>
        </w:tc>
        <w:tc>
          <w:tcPr>
            <w:tcW w:w="1273" w:type="dxa"/>
            <w:vAlign w:val="center"/>
          </w:tcPr>
          <w:p>
            <w:r>
              <w:t>11.68</w:t>
            </w:r>
          </w:p>
        </w:tc>
        <w:tc>
          <w:tcPr>
            <w:tcW w:w="1131" w:type="dxa"/>
            <w:vAlign w:val="center"/>
          </w:tcPr>
          <w:p>
            <w:r>
              <w:t>27.81</w:t>
            </w:r>
          </w:p>
        </w:tc>
        <w:tc>
          <w:tcPr>
            <w:tcW w:w="1131" w:type="dxa"/>
            <w:vAlign w:val="center"/>
          </w:tcPr>
          <w:p>
            <w:r>
              <w:t>18.09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66.31</w:t>
            </w:r>
          </w:p>
        </w:tc>
      </w:tr>
    </w:tbl>
    <w:p>
      <w:r>
        <w:drawing>
          <wp:inline distT="0" distB="0" distL="0" distR="0">
            <wp:extent cx="5667375" cy="3000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2" w:name="_Toc90886058"/>
      <w:r>
        <w:t>逐月负荷表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81507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220.898</w:t>
            </w:r>
          </w:p>
        </w:tc>
        <w:tc>
          <w:tcPr>
            <w:tcW w:w="1862" w:type="dxa"/>
            <w:vAlign w:val="center"/>
          </w:tcPr>
          <w:p>
            <w:r>
              <w:t>01月20日06时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4.874</w:t>
            </w:r>
          </w:p>
        </w:tc>
        <w:tc>
          <w:tcPr>
            <w:tcW w:w="1862" w:type="dxa"/>
            <w:vAlign w:val="center"/>
          </w:tcPr>
          <w:p>
            <w:r>
              <w:t>01月23日14时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68431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220.988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02月04日08时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5.815</w:t>
            </w:r>
          </w:p>
        </w:tc>
        <w:tc>
          <w:tcPr>
            <w:tcW w:w="1862" w:type="dxa"/>
            <w:vAlign w:val="center"/>
          </w:tcPr>
          <w:p>
            <w:r>
              <w:t>02月19日15时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52327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207.798</w:t>
            </w:r>
          </w:p>
        </w:tc>
        <w:tc>
          <w:tcPr>
            <w:tcW w:w="1862" w:type="dxa"/>
            <w:vAlign w:val="center"/>
          </w:tcPr>
          <w:p>
            <w:r>
              <w:t>03月07日06时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10.960</w:t>
            </w:r>
          </w:p>
        </w:tc>
        <w:tc>
          <w:tcPr>
            <w:tcW w:w="1862" w:type="dxa"/>
            <w:vAlign w:val="center"/>
          </w:tcPr>
          <w:p>
            <w:r>
              <w:t>03月26日15时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5378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86.267</w:t>
            </w:r>
          </w:p>
        </w:tc>
        <w:tc>
          <w:tcPr>
            <w:tcW w:w="1862" w:type="dxa"/>
            <w:vAlign w:val="center"/>
          </w:tcPr>
          <w:p>
            <w:r>
              <w:t>04月05日05时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11.712</w:t>
            </w:r>
          </w:p>
        </w:tc>
        <w:tc>
          <w:tcPr>
            <w:tcW w:w="1862" w:type="dxa"/>
            <w:vAlign w:val="center"/>
          </w:tcPr>
          <w:p>
            <w:r>
              <w:t>04月28日15时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6728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121.625</w:t>
            </w:r>
          </w:p>
        </w:tc>
        <w:tc>
          <w:tcPr>
            <w:tcW w:w="1862" w:type="dxa"/>
            <w:vAlign w:val="center"/>
          </w:tcPr>
          <w:p>
            <w:r>
              <w:t>05月29日19时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57314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223.908</w:t>
            </w:r>
          </w:p>
        </w:tc>
        <w:tc>
          <w:tcPr>
            <w:tcW w:w="1862" w:type="dxa"/>
            <w:vAlign w:val="center"/>
          </w:tcPr>
          <w:p>
            <w:r>
              <w:t>06月28日20时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114579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270.905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07月22日14时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115057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237.376</w:t>
            </w:r>
          </w:p>
        </w:tc>
        <w:tc>
          <w:tcPr>
            <w:tcW w:w="1862" w:type="dxa"/>
            <w:vAlign w:val="center"/>
          </w:tcPr>
          <w:p>
            <w:r>
              <w:t>08月23日18时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58561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249.035</w:t>
            </w:r>
          </w:p>
        </w:tc>
        <w:tc>
          <w:tcPr>
            <w:tcW w:w="1862" w:type="dxa"/>
            <w:vAlign w:val="center"/>
          </w:tcPr>
          <w:p>
            <w:r>
              <w:t>09月03日14时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14008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4.581</w:t>
            </w:r>
          </w:p>
        </w:tc>
        <w:tc>
          <w:tcPr>
            <w:tcW w:w="1862" w:type="dxa"/>
            <w:vAlign w:val="center"/>
          </w:tcPr>
          <w:p>
            <w:r>
              <w:t>10月10日06时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205.287</w:t>
            </w:r>
          </w:p>
        </w:tc>
        <w:tc>
          <w:tcPr>
            <w:tcW w:w="1862" w:type="dxa"/>
            <w:vAlign w:val="center"/>
          </w:tcPr>
          <w:p>
            <w:r>
              <w:t>10月02日15时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19597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137.164</w:t>
            </w:r>
          </w:p>
        </w:tc>
        <w:tc>
          <w:tcPr>
            <w:tcW w:w="1862" w:type="dxa"/>
            <w:vAlign w:val="center"/>
          </w:tcPr>
          <w:p>
            <w:r>
              <w:t>11月25日06时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8.674</w:t>
            </w:r>
          </w:p>
        </w:tc>
        <w:tc>
          <w:tcPr>
            <w:tcW w:w="1862" w:type="dxa"/>
            <w:vAlign w:val="center"/>
          </w:tcPr>
          <w:p>
            <w:r>
              <w:t>11月04日16时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71613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195.911</w:t>
            </w:r>
          </w:p>
        </w:tc>
        <w:tc>
          <w:tcPr>
            <w:tcW w:w="1862" w:type="dxa"/>
            <w:vAlign w:val="center"/>
          </w:tcPr>
          <w:p>
            <w:r>
              <w:t>12月17日07时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5.753</w:t>
            </w:r>
          </w:p>
        </w:tc>
        <w:tc>
          <w:tcPr>
            <w:tcW w:w="1862" w:type="dxa"/>
            <w:vAlign w:val="center"/>
          </w:tcPr>
          <w:p>
            <w:r>
              <w:t>12月23日14时</w:t>
            </w:r>
          </w:p>
        </w:tc>
      </w:tr>
    </w:tbl>
    <w:p>
      <w:bookmarkStart w:id="163" w:name="_GoBack"/>
      <w:r>
        <w:drawing>
          <wp:inline distT="0" distB="0" distL="0" distR="0">
            <wp:extent cx="5667375" cy="267652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3"/>
    </w:p>
    <w:p/>
    <w:p>
      <w:r>
        <w:drawing>
          <wp:inline distT="0" distB="0" distL="0" distR="0">
            <wp:extent cx="5667375" cy="2686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3" w:name="_Toc90886059"/>
      <w:r>
        <w:t>逐月电耗</w:t>
      </w:r>
      <w:bookmarkEnd w:id="123"/>
    </w:p>
    <w:p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7.74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8.99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9.02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6.80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28.83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11.65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17.61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13.17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1.28</w:t>
            </w:r>
          </w:p>
        </w:tc>
      </w:tr>
    </w:tbl>
    <w:p>
      <w:pPr>
        <w:pStyle w:val="4"/>
      </w:pPr>
      <w:bookmarkStart w:id="124" w:name="_Toc90886060"/>
      <w:r>
        <w:t>全年能耗</w:t>
      </w:r>
      <w:bookmarkEnd w:id="124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设计建筑别名"/>
            <w:r>
              <w:rPr>
                <w:rFonts w:hint="eastAsia"/>
                <w:lang w:val="en-US"/>
              </w:rPr>
              <w:t>设计建筑</w:t>
            </w:r>
            <w:bookmarkEnd w:id="125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耗冷量2"/>
            <w:r>
              <w:rPr>
                <w:rFonts w:hint="eastAsia"/>
                <w:lang w:val="en-US"/>
              </w:rPr>
              <w:t>66.31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耗热量2"/>
            <w:r>
              <w:rPr>
                <w:rFonts w:hint="eastAsia"/>
                <w:lang w:val="en-US"/>
              </w:rPr>
              <w:t>53.94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耗冷耗热量2"/>
            <w:r>
              <w:rPr>
                <w:rFonts w:hint="eastAsia"/>
                <w:lang w:val="en-US"/>
              </w:rPr>
              <w:t>120.25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热回收供冷负荷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热回收供暖负荷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热回收负荷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冷源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冷却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冷冻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单元式空调能耗"/>
            <w:r>
              <w:rPr>
                <w:lang w:val="en-US"/>
              </w:rPr>
              <w:t>28.83</w:t>
            </w:r>
            <w:bookmarkEnd w:id="13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空调能耗"/>
            <w:r>
              <w:rPr>
                <w:lang w:val="en-US"/>
              </w:rPr>
              <w:t>28.83</w:t>
            </w:r>
            <w:bookmarkEnd w:id="13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热源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热水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28.39</w:t>
            </w:r>
            <w:bookmarkEnd w:id="14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供暖能耗"/>
            <w:r>
              <w:rPr>
                <w:lang w:val="en-US"/>
              </w:rPr>
              <w:t>28.39</w:t>
            </w:r>
            <w:bookmarkEnd w:id="14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5.68</w:t>
            </w:r>
            <w:bookmarkEnd w:id="14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风机盘管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多联机室内机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全空气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空调动力能耗"/>
            <w:r>
              <w:rPr>
                <w:rFonts w:hint="eastAsia"/>
                <w:lang w:val="en-US"/>
              </w:rPr>
              <w:t>5.68</w:t>
            </w:r>
            <w:bookmarkEnd w:id="14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照明能耗"/>
            <w:r>
              <w:rPr>
                <w:rFonts w:hint="eastAsia"/>
                <w:lang w:val="en-US"/>
              </w:rPr>
              <w:t>11.65</w:t>
            </w:r>
            <w:bookmarkEnd w:id="14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设备用电"/>
            <w:r>
              <w:rPr>
                <w:rFonts w:hint="eastAsia"/>
                <w:lang w:val="en-US"/>
              </w:rPr>
              <w:t>17.61</w:t>
            </w:r>
            <w:bookmarkEnd w:id="14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动力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排风机能耗"/>
            <w:r>
              <w:rPr>
                <w:rFonts w:hint="eastAsia"/>
                <w:lang w:val="en-US"/>
              </w:rPr>
              <w:t>13.17</w:t>
            </w:r>
            <w:bookmarkEnd w:id="15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热水系统能耗"/>
            <w:r>
              <w:rPr>
                <w:rFonts w:hint="eastAsia"/>
                <w:lang w:val="en-US"/>
              </w:rPr>
              <w:t>1.28</w:t>
            </w:r>
            <w:bookmarkEnd w:id="15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其他能耗"/>
            <w:r>
              <w:rPr>
                <w:rFonts w:hint="eastAsia"/>
                <w:lang w:val="en-US"/>
              </w:rPr>
              <w:t>14.45</w:t>
            </w:r>
            <w:bookmarkEnd w:id="15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太阳能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光伏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可再生能源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6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建筑总能耗"/>
            <w:r>
              <w:rPr>
                <w:lang w:val="en-US"/>
              </w:rPr>
              <w:t>106.61</w:t>
            </w:r>
            <w:bookmarkEnd w:id="15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/>
    <w:p>
      <w:r>
        <w:drawing>
          <wp:inline distT="0" distB="0" distL="0" distR="0">
            <wp:extent cx="5667375" cy="4962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158" w:name="_Toc90886061"/>
      <w:r>
        <w:t>附录</w:t>
      </w:r>
      <w:bookmarkEnd w:id="158"/>
    </w:p>
    <w:p>
      <w:pPr>
        <w:pStyle w:val="4"/>
      </w:pPr>
      <w:bookmarkStart w:id="159" w:name="_Toc90886062"/>
      <w:r>
        <w:t>工作日/节假日人员逐时在室率(%)</w:t>
      </w:r>
      <w:bookmarkEnd w:id="15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0" w:name="_Toc90886063"/>
      <w:r>
        <w:t>工作日/节假日照明开关时间表(%)</w:t>
      </w:r>
      <w:bookmarkEnd w:id="16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1" w:name="_Toc90886064"/>
      <w:r>
        <w:t>工作日/节假日设备逐时使用率(%)</w:t>
      </w:r>
      <w:bookmarkEnd w:id="16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2" w:name="_Toc90886065"/>
      <w:r>
        <w:t>工作日/节假日空调系统运行时间表(1:开,0:关)</w:t>
      </w:r>
      <w:bookmarkEnd w:id="16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99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C4F99"/>
    <w:rsid w:val="008D3D30"/>
    <w:rsid w:val="008E0C4D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0907"/>
    <w:rsid w:val="00F54441"/>
    <w:rsid w:val="00F75DD1"/>
    <w:rsid w:val="00FA4B87"/>
    <w:rsid w:val="00FF2243"/>
    <w:rsid w:val="367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20</Pages>
  <Words>2306</Words>
  <Characters>13150</Characters>
  <Lines>109</Lines>
  <Paragraphs>30</Paragraphs>
  <TotalTime>0</TotalTime>
  <ScaleCrop>false</ScaleCrop>
  <LinksUpToDate>false</LinksUpToDate>
  <CharactersWithSpaces>15426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2021-12-20T01:46:00Z</dcterms:created>
  <dc:creator>姚天成</dc:creator>
  <cp:lastModifiedBy>qzuser</cp:lastModifiedBy>
  <cp:lastPrinted>2411-12-31T16:00:00Z</cp:lastPrinted>
  <dcterms:modified xsi:type="dcterms:W3CDTF">2021-12-29T11:35:36Z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79E2C372DFE54EEEB9F485DA0DB4A1F4</vt:lpwstr>
  </property>
</Properties>
</file>